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FDC26" w14:textId="5A3AA38C" w:rsidR="00CC6679" w:rsidRPr="00170E99" w:rsidRDefault="00DC698E" w:rsidP="00A13611">
      <w:pPr>
        <w:spacing w:line="360" w:lineRule="auto"/>
        <w:rPr>
          <w:rFonts w:cs="Arial"/>
          <w:i/>
          <w:iCs/>
          <w:szCs w:val="22"/>
        </w:rPr>
      </w:pPr>
      <w:r>
        <w:rPr>
          <w:rFonts w:cs="Arial"/>
          <w:i/>
          <w:iCs/>
          <w:szCs w:val="22"/>
        </w:rPr>
        <w:t>Lafarge Zementwerke GmbH setzt im österreichischen Retznei für die Handhabung alternativer Brenn- und Rohstoffe auf Komplettlösung von BEUMER:</w:t>
      </w:r>
    </w:p>
    <w:p w14:paraId="74ED81C2" w14:textId="0E3B027D" w:rsidR="004B5112" w:rsidRDefault="00724387" w:rsidP="00A13611">
      <w:pPr>
        <w:rPr>
          <w:rFonts w:cs="Arial"/>
          <w:b/>
          <w:bCs/>
          <w:sz w:val="28"/>
          <w:szCs w:val="28"/>
        </w:rPr>
      </w:pPr>
      <w:r>
        <w:rPr>
          <w:rFonts w:cs="Arial"/>
          <w:b/>
          <w:bCs/>
          <w:sz w:val="28"/>
          <w:szCs w:val="28"/>
        </w:rPr>
        <w:t>Produktion wirtschaftlich befeuern</w:t>
      </w:r>
    </w:p>
    <w:p w14:paraId="2C53C61C" w14:textId="77777777" w:rsidR="00B14071" w:rsidRDefault="00B14071" w:rsidP="00A13611">
      <w:pPr>
        <w:rPr>
          <w:rFonts w:cs="Arial"/>
          <w:b/>
          <w:bCs/>
          <w:sz w:val="28"/>
          <w:szCs w:val="28"/>
        </w:rPr>
      </w:pPr>
    </w:p>
    <w:p w14:paraId="5697D527" w14:textId="77777777" w:rsidR="004F33E3" w:rsidRPr="00170E99" w:rsidRDefault="004F33E3" w:rsidP="004B5112">
      <w:pPr>
        <w:rPr>
          <w:rFonts w:cs="Arial"/>
          <w:b/>
          <w:bCs/>
          <w:sz w:val="28"/>
          <w:szCs w:val="28"/>
        </w:rPr>
      </w:pPr>
    </w:p>
    <w:p w14:paraId="65E47DF9" w14:textId="16AC6D0F" w:rsidR="00FE4AA2" w:rsidRDefault="00F36D01" w:rsidP="00F36D01">
      <w:pPr>
        <w:spacing w:line="360" w:lineRule="auto"/>
        <w:rPr>
          <w:rFonts w:cs="Arial"/>
          <w:b/>
          <w:bCs/>
          <w:color w:val="000000"/>
          <w:szCs w:val="22"/>
        </w:rPr>
      </w:pPr>
      <w:r>
        <w:rPr>
          <w:rFonts w:cs="Arial"/>
          <w:b/>
          <w:bCs/>
          <w:color w:val="000000"/>
          <w:szCs w:val="22"/>
        </w:rPr>
        <w:t>Für einen wirtschaftlichen und nachhaltigen Betrieb setzt die Lafarge Zementwerke GmbH im österreichischen Werk Retznei auf alternative Brenn- und Rohstoffe, um den neuen Kalzinator zu befeuern. Um das ofenfertige Material effizient zu fördern, zu lagern und zu dosieren, beauftragte der Hersteller die BEUMER Group damit, eine individuelle Komplettlösung zu erarbeiten. Kern dieser Systemlösung ist ein U-Förderer: Das Fördersystem transportiert die aufbereiteten Abfälle umweltfreundlich, staubfrei und energiearm</w:t>
      </w:r>
      <w:r>
        <w:rPr>
          <w:rFonts w:cs="Arial"/>
          <w:b/>
          <w:bCs/>
          <w:szCs w:val="22"/>
        </w:rPr>
        <w:t>.</w:t>
      </w:r>
    </w:p>
    <w:p w14:paraId="3A89A511" w14:textId="77777777" w:rsidR="00AE3682" w:rsidRDefault="00AE3682" w:rsidP="00A13611">
      <w:pPr>
        <w:spacing w:line="360" w:lineRule="auto"/>
        <w:rPr>
          <w:rFonts w:cs="Arial"/>
          <w:b/>
          <w:bCs/>
          <w:szCs w:val="22"/>
        </w:rPr>
      </w:pPr>
    </w:p>
    <w:p w14:paraId="0BCC6015" w14:textId="7F7E47E9" w:rsidR="009E6A73" w:rsidRDefault="00C81683" w:rsidP="00B14071">
      <w:pPr>
        <w:spacing w:line="360" w:lineRule="auto"/>
        <w:rPr>
          <w:rFonts w:cs="Arial"/>
          <w:szCs w:val="22"/>
        </w:rPr>
      </w:pPr>
      <w:r>
        <w:rPr>
          <w:rFonts w:cs="Arial"/>
          <w:szCs w:val="22"/>
        </w:rPr>
        <w:t>In der österreichischen Steiermark liegt direkt an der Mur der kleine Ortsteil Retznei. Viele Bewohner in dieser Gegend leben vom Anbau von Weintrauben, Obst, Kürbissen und Bohnen. Der wichtigste Arbeitgeber kommt allerdings nicht aus der Landwirtschaft, sondern aus der Zementproduktion: die Lafarge Zementwerke GmbH, ein Unternehmen von LafargeHolcim mit Hauptsitz in Rapperswil-Jona in der Schweiz. „Zement wird in Retznei schon seit 1908 hergestellt“, sagt Franz Wratschko von den Lafarge Zementwerken, der im Werk Retznei als Investitionsmanager tätig ist. Hatte damals der erste Betreiber des Werks, die Ehrenhausener Portlandzementwerke, eine jährliche Produktion von 4.000 bis 4.500 Waggons, wie in einem alten Bericht steht, beträgt heute die jährliche Produktionsmenge rund 625.000 Tonnen. „Unser Werk gilt als absoluter Wirtschaftsmotor für diese Gegend“, sagt Franz Wratschko.</w:t>
      </w:r>
    </w:p>
    <w:p w14:paraId="0EB3DCBF" w14:textId="77777777" w:rsidR="009E6A73" w:rsidRDefault="009E6A73" w:rsidP="00B14071">
      <w:pPr>
        <w:spacing w:line="360" w:lineRule="auto"/>
        <w:rPr>
          <w:rFonts w:cs="Arial"/>
          <w:szCs w:val="22"/>
        </w:rPr>
      </w:pPr>
    </w:p>
    <w:p w14:paraId="66FD89F0" w14:textId="22A94376" w:rsidR="008D6B93" w:rsidRDefault="00DC698E" w:rsidP="008D6B93">
      <w:pPr>
        <w:spacing w:line="360" w:lineRule="auto"/>
        <w:rPr>
          <w:rFonts w:cs="Arial"/>
          <w:szCs w:val="22"/>
        </w:rPr>
      </w:pPr>
      <w:r>
        <w:rPr>
          <w:rFonts w:cs="Arial"/>
          <w:szCs w:val="22"/>
        </w:rPr>
        <w:t xml:space="preserve">Lafarge Zementwerke legt nicht nur auf hochwertige Produkte sehr viel Wert, sondern auch auf eine nachhaltige, energieeffiziente und umweltschonende Fertigung. Um Treibhausgase zu reduzieren und Produktionskosten zu senken, setzt das Unternehmen zur Befeuerung des neuen Kalzinators nun vermehrt auf den Einsatz von alternativen Brennstoffen. Statt Kohle und Öl kommen ausschließlich aufbereitete und aussortierte Energiewertstoffe aus der Abfallentsorgung in den Ofen. Dabei handelt es sich um ein bereits niedrig kalorienreiches Material mit einem Brennwert von etwa 14.000 Kilojoule pro Kilogramm. Das stellt eine praktische, kostengünstige und umweltschonende Alternative zur herkömmlichen Deponierung und Verbrennung dar. „Die thermische Verwertung dieser Materialien in </w:t>
      </w:r>
      <w:r>
        <w:rPr>
          <w:rFonts w:cs="Arial"/>
          <w:szCs w:val="22"/>
        </w:rPr>
        <w:lastRenderedPageBreak/>
        <w:t>Zementwerken bietet aber noch weitere Vorteile“, erklärt Franz Wratschko. „Bei der im Drehrohrofen herrschenden Temperatur von etwa 2.200 bis 2.400 Grad Celsius werden organische Schadstoffe vollständig zerstört. Bei der Verbrennung bleiben keine zu entsorgenden Aschen zurück, und die Verbrennungsrückstände werden vollständig in den Zementklinker eingebaut.“ Der Hersteller beauftragte die BEUMER Group, eine Förderlinie zu installieren, die das Material mit einer Kapazität von 15 Tonnen in der Stunde dem Kalzinator zuverlässig zuführt.</w:t>
      </w:r>
    </w:p>
    <w:p w14:paraId="60B320ED" w14:textId="5303135E" w:rsidR="006C74DE" w:rsidRDefault="006C74DE" w:rsidP="005338A9">
      <w:pPr>
        <w:spacing w:line="360" w:lineRule="auto"/>
        <w:rPr>
          <w:rFonts w:cs="Arial"/>
          <w:szCs w:val="22"/>
        </w:rPr>
      </w:pPr>
    </w:p>
    <w:p w14:paraId="380ACCDF" w14:textId="2DEB60A8" w:rsidR="006C74DE" w:rsidRPr="006C74DE" w:rsidRDefault="008D6B93" w:rsidP="005338A9">
      <w:pPr>
        <w:spacing w:line="360" w:lineRule="auto"/>
        <w:rPr>
          <w:rFonts w:cs="Arial"/>
          <w:b/>
          <w:bCs/>
          <w:szCs w:val="22"/>
        </w:rPr>
      </w:pPr>
      <w:r>
        <w:rPr>
          <w:rFonts w:cs="Arial"/>
          <w:b/>
          <w:bCs/>
          <w:szCs w:val="22"/>
        </w:rPr>
        <w:t>Wirtschaftlich auf ganzer Linie</w:t>
      </w:r>
    </w:p>
    <w:p w14:paraId="74E683C7" w14:textId="4460C33F" w:rsidR="008D6B93" w:rsidRDefault="005338A9" w:rsidP="008D6B93">
      <w:pPr>
        <w:spacing w:line="360" w:lineRule="auto"/>
        <w:rPr>
          <w:rFonts w:cs="Arial"/>
          <w:szCs w:val="22"/>
        </w:rPr>
      </w:pPr>
      <w:r>
        <w:rPr>
          <w:rFonts w:cs="Arial"/>
          <w:szCs w:val="22"/>
        </w:rPr>
        <w:t>Um Zementhersteller auf dem Gebiet der alternativen Brenn- und Rohstoffe – die im Englischen Alternative Fuels and Raw Materials (AFR) genannt werden – zu unterstützen, hat die BEUMER Group mit AFR Systems ein eigenes Geschäftsfeld aufgestellt. „Mit unserem Know-how und maßgeschneiderten Systemen können wir unsere Kunden optimal betreuen“, sagt Jan Tuma, Chief Sales Officer bei der BEUMER Group in Tschechien. „Wir haben nicht nur langjährige Erfahrungen auf diesem Gebiet. Wir berücksichtigen auch stets die Kundenwünsche.“ Der Systemanbieter ist so in der Lage, die gesamte Kette von der Annahme und Entladung des Lieferfahrzeugs bis zum Lagern, Fördern und Dosieren der festen Brennstoffe anwenderspezifisch zu liefern und zu installieren. Der Kunde erhält alles aus einer Hand und hat damit nur noch einen Ansprechpartner.</w:t>
      </w:r>
    </w:p>
    <w:p w14:paraId="3AFC0840" w14:textId="71D5629A" w:rsidR="00FA7E52" w:rsidRDefault="00FA7E52" w:rsidP="005338A9">
      <w:pPr>
        <w:spacing w:line="360" w:lineRule="auto"/>
        <w:rPr>
          <w:rFonts w:cs="Arial"/>
          <w:szCs w:val="22"/>
        </w:rPr>
      </w:pPr>
    </w:p>
    <w:p w14:paraId="512A8F2B" w14:textId="6EC56981" w:rsidR="00752466" w:rsidRPr="002629A5" w:rsidRDefault="000279EA" w:rsidP="00752466">
      <w:pPr>
        <w:spacing w:line="360" w:lineRule="auto"/>
        <w:rPr>
          <w:rFonts w:cs="Arial"/>
          <w:szCs w:val="22"/>
        </w:rPr>
      </w:pPr>
      <w:r>
        <w:rPr>
          <w:rFonts w:cs="Arial"/>
          <w:szCs w:val="22"/>
        </w:rPr>
        <w:t>Die alternativen Brenn- und Rohstoffe müssen entsprechende Qualitätsanforderungen erfüllen. So dürfen zum Beispiel nur aufbereitete Abfälle mit einem Mindestheizwert von 22.000 Kilojoule pro Kilogramm und entsprechend niedrigen Schwermetallgehalten verwendet werden. Geliefert wird das Material von Geocycle. Der Entsorgungsdienstleister ist Teil der LafargeHolcim-Gruppe und bereitet im Recycling-Center Retznei Bauabfälle und mineralische Produktionsabfälle für die Klinkerproduktion entsprechend auf. „Das Material, das wir angeliefert bekommen, weist eine Partikelgröße von 120 x 120 x 20 Millimetern und eine Dichte von 100 Kilogramm pro Kubikmeter auf“, beschreibt Jan Tuma. „Der Feuchtigkeitsgehalt liegt bei 30 Prozent.“</w:t>
      </w:r>
      <w:bookmarkStart w:id="0" w:name="_GoBack"/>
      <w:bookmarkEnd w:id="0"/>
    </w:p>
    <w:p w14:paraId="6E71787D" w14:textId="68C343C7" w:rsidR="00F45558" w:rsidRDefault="00F45558" w:rsidP="00F45558">
      <w:pPr>
        <w:spacing w:line="360" w:lineRule="auto"/>
        <w:rPr>
          <w:rFonts w:cs="Arial"/>
          <w:szCs w:val="22"/>
        </w:rPr>
      </w:pPr>
    </w:p>
    <w:p w14:paraId="169786AA" w14:textId="174828FC" w:rsidR="002D484F" w:rsidRPr="00D95F18" w:rsidRDefault="00670380" w:rsidP="002D484F">
      <w:pPr>
        <w:spacing w:line="360" w:lineRule="auto"/>
        <w:rPr>
          <w:rFonts w:cs="Arial"/>
          <w:b/>
          <w:bCs/>
          <w:szCs w:val="22"/>
        </w:rPr>
      </w:pPr>
      <w:r>
        <w:rPr>
          <w:rFonts w:cs="Arial"/>
          <w:b/>
          <w:bCs/>
          <w:szCs w:val="22"/>
        </w:rPr>
        <w:lastRenderedPageBreak/>
        <w:t>Reibungsloser Ablauf</w:t>
      </w:r>
    </w:p>
    <w:p w14:paraId="20058592" w14:textId="43A071C4" w:rsidR="003362A7" w:rsidRDefault="001E4CDD" w:rsidP="003362A7">
      <w:pPr>
        <w:spacing w:line="360" w:lineRule="auto"/>
        <w:rPr>
          <w:rFonts w:cs="Arial"/>
          <w:szCs w:val="22"/>
        </w:rPr>
      </w:pPr>
      <w:r>
        <w:rPr>
          <w:rFonts w:cs="Arial"/>
          <w:szCs w:val="22"/>
        </w:rPr>
        <w:t>Das ofenfertige Material liefert Geocycle in Schubbodenaufliegern an. Der hydraulisch gesteuerte Schubboden bewegt die Last nach außen auf die Förderanlage. „Alle gelieferten Fördersysteme und die dazugehörigen Ausrüstungen greifen reibungslos ineinander und sichern eine kontinuierliche Brennstoffbeschickung“, beschreibt Jan Tuma. „Dazu haben wir unsere Entladestation BG OptiBulk installiert.“ Ein Kettengurtförderer mit einer Länge von 15 Metern und einer Gurtbreite von 2,8 Metern schafft das Material zu dieser Entladestation auf eine Höhe von 6,6 Metern. Die BG OptiBulk ist mit einem speziellen Gehäuse ausgestattet, das die Umgebung vor Staubaustritt und das Material vor Umgebungseinflüssen schützt. „Wir können mit dieser Station bis zu 150 Kubikmeter Brennstoff in der Stunde entladen“, sagt der BEUMER Experte. Von der Entladestation fällt das Material, das von LKW angeliefert wird, in die Dosierschneckenwaage BG OptiFeed mit einem Behälter von 20 Kubikmetern. Weiteres Brennmaterial des Entsorgungsdienstleisters Geocycle gelangt über die Förderanlage in eine zweite BG OptiFeed mit einem Behälter von 50 Kubikmetern.</w:t>
      </w:r>
    </w:p>
    <w:p w14:paraId="3C4BEC56" w14:textId="77777777" w:rsidR="00A21E92" w:rsidRDefault="00A21E92" w:rsidP="009824D8">
      <w:pPr>
        <w:spacing w:line="360" w:lineRule="auto"/>
        <w:rPr>
          <w:rFonts w:cs="Arial"/>
          <w:szCs w:val="22"/>
        </w:rPr>
      </w:pPr>
    </w:p>
    <w:p w14:paraId="584C43E2" w14:textId="512B2B93" w:rsidR="00643DE3" w:rsidRDefault="00D35EFD" w:rsidP="002D484F">
      <w:pPr>
        <w:spacing w:line="360" w:lineRule="auto"/>
        <w:rPr>
          <w:rFonts w:cs="Arial"/>
          <w:szCs w:val="22"/>
        </w:rPr>
      </w:pPr>
      <w:r>
        <w:rPr>
          <w:rFonts w:cs="Arial"/>
          <w:szCs w:val="22"/>
        </w:rPr>
        <w:t>„Um das Material kontinuierlich dosieren zu können, haben wir für jeden Materialstrom eine unserer BG OptiFeed installiert“, erläutert Jan Tuma. Die Schneckenförderer mit Wägezellen eignen sich perfekt für ganz unterschiedliche Materialien – also ideal für die kontinuierliche Zuführung von alternativen Brenn- oder Rohstoffen. Weil sich die Schneckenförderer auf den Wägezellen befinden, ist immer ersichtlich, wie viel Material tatsächlich ausgetragen wird. Die Beschickungsgeschwindigkeit auf die weiterführenden Förderelemente beträgt bis zu 15 Tonnen in der Stunde. Ausgelegt ist das System für Schüttdichten von 0,08 bis 0,15 Tonnen pro Kubikmeter, das Regelverhältnis liegt bei 1 : 20, die maximale Zuführgenauigkeit zwischen einem und zwei Prozent. Die komplett geschlossene Dosierschneckenwaage ist zudem vor Staub geschützt. „Wir können damit den nachfolgenden U-Förderer mit bis zu 15 Tonnen Material in der Stunde sicher beschicken“, beschreibt Jan Tuma.</w:t>
      </w:r>
    </w:p>
    <w:p w14:paraId="0BC181A9" w14:textId="17F845F6" w:rsidR="00643DE3" w:rsidRDefault="00643DE3" w:rsidP="002D484F">
      <w:pPr>
        <w:spacing w:line="360" w:lineRule="auto"/>
        <w:rPr>
          <w:rFonts w:cs="Arial"/>
          <w:szCs w:val="22"/>
        </w:rPr>
      </w:pPr>
    </w:p>
    <w:p w14:paraId="2AA0BF84" w14:textId="154D115B" w:rsidR="00643DE3" w:rsidRPr="00643DE3" w:rsidRDefault="00643DE3" w:rsidP="002D484F">
      <w:pPr>
        <w:spacing w:line="360" w:lineRule="auto"/>
        <w:rPr>
          <w:rFonts w:cs="Arial"/>
          <w:b/>
          <w:bCs/>
          <w:szCs w:val="22"/>
        </w:rPr>
      </w:pPr>
      <w:r>
        <w:rPr>
          <w:rFonts w:cs="Arial"/>
          <w:b/>
          <w:bCs/>
          <w:szCs w:val="22"/>
        </w:rPr>
        <w:t>Zuverlässiger Transport in U-Form</w:t>
      </w:r>
    </w:p>
    <w:p w14:paraId="5872D491" w14:textId="39776245" w:rsidR="000D387E" w:rsidRDefault="00A932A3" w:rsidP="000D387E">
      <w:pPr>
        <w:spacing w:line="360" w:lineRule="auto"/>
        <w:rPr>
          <w:rFonts w:cs="Arial"/>
          <w:szCs w:val="22"/>
        </w:rPr>
      </w:pPr>
      <w:r>
        <w:rPr>
          <w:rFonts w:cs="Arial"/>
          <w:szCs w:val="22"/>
        </w:rPr>
        <w:t xml:space="preserve">Der U-Förderer ist das Herzstück der Gesamtanlage. „Wir evaluierten verschiedene Varianten mechanischer Fördersysteme“, berichtet der BEUMER Fachmann. „Schließlich </w:t>
      </w:r>
      <w:r>
        <w:rPr>
          <w:rFonts w:cs="Arial"/>
          <w:szCs w:val="22"/>
        </w:rPr>
        <w:lastRenderedPageBreak/>
        <w:t>entschieden wir uns für diese Förderlösung. U-Förderer lassen sich einfach integrieren und eignen sich auch für lange Distanzen und unwegsames Gelände sowie horizontale und vertikale Kurven. Das geförderte Material ist gegen äußere Einflüsse wie Wind, Regen oder Schnee geschützt – und die Umwelt vor potenziellem Materialverlust. Diese Förderlösung eignet sich sowohl für grobstückiges als auch für sehr feines Material. Die Anlage in Retznei hat einen Durchmesser von 250 Millimetern, eine Förderlänge von 253 Metern und bewältigt mit einer Geschwindigkeit von einem Meter in der Sekunde eine Höhe von 32 Metern bei einer maximalen Steigung von über 20 Grad.</w:t>
      </w:r>
    </w:p>
    <w:p w14:paraId="20D24889" w14:textId="77777777" w:rsidR="004F7E77" w:rsidRPr="00053369" w:rsidRDefault="004F7E77" w:rsidP="000D387E">
      <w:pPr>
        <w:spacing w:line="360" w:lineRule="auto"/>
        <w:rPr>
          <w:rFonts w:cs="Arial"/>
          <w:szCs w:val="22"/>
        </w:rPr>
      </w:pPr>
    </w:p>
    <w:p w14:paraId="697A7953" w14:textId="78F598F9" w:rsidR="000D387E" w:rsidRDefault="004F7E77" w:rsidP="000D387E">
      <w:pPr>
        <w:spacing w:line="360" w:lineRule="auto"/>
        <w:rPr>
          <w:rFonts w:cs="Arial"/>
          <w:szCs w:val="22"/>
        </w:rPr>
      </w:pPr>
      <w:r>
        <w:rPr>
          <w:rFonts w:cs="Arial"/>
          <w:szCs w:val="22"/>
        </w:rPr>
        <w:t>„An der Aufgabestelle ist der U-Förderer genauso offen wie ein herkömmlicher Gurtförderer“, beschreibt Jan Tuma. „Eine spezielle Tragrollenkonfiguration bringt den Gurt in eine U-Form.“ So gelangt das Schüttgut zur Abwurfstation. Zum Öffnen des Gurtes wird eine ähnliche Tragrollenkonfiguration wie bei der Formgebung verwendet. U-Förderer haben im Vergleich zum Pipe Conveyor unter anderem deutlich höhere Vorschubraten, weil ein schmalerer Gurt zum Einsatz kommt.</w:t>
      </w:r>
    </w:p>
    <w:p w14:paraId="458FBF5D" w14:textId="1A8D5E2A" w:rsidR="00FE4AA2" w:rsidRDefault="00FE4AA2" w:rsidP="00FE4AA2">
      <w:pPr>
        <w:spacing w:line="360" w:lineRule="auto"/>
        <w:rPr>
          <w:rFonts w:cs="Arial"/>
          <w:szCs w:val="22"/>
        </w:rPr>
      </w:pPr>
    </w:p>
    <w:p w14:paraId="289EA090" w14:textId="1ED7D7A4" w:rsidR="002D484F" w:rsidRPr="002D484F" w:rsidRDefault="00DA10A8" w:rsidP="008E5049">
      <w:pPr>
        <w:spacing w:line="360" w:lineRule="auto"/>
        <w:rPr>
          <w:rFonts w:cs="Arial"/>
          <w:szCs w:val="22"/>
        </w:rPr>
      </w:pPr>
      <w:r>
        <w:rPr>
          <w:rFonts w:cs="Arial"/>
          <w:szCs w:val="22"/>
        </w:rPr>
        <w:t>Der U-Förderer übergibt das Material auf einen Doppel-Abzugsschneckenförderer der Baureihe BG OptiLock. Die Luftschleuse dieser Systemlösung schützt den Pyroprozess vor der Falschluft von außen, die in den Verbrennungsprozessen entstehen kann. BG OptiLock ist ebenfalls mit Wägezellen ausgestattet. Der Betreiber hat somit stets die Übersicht über die tatsächliche Materiallast. Der Abzugsschneckenförderer übergibt das Schüttgut kontinuierlich einem Schneckenförderer, der den Kalzinator beschickt. Weil sich das Material entzünden kann, hat der Systemanbieter alle Anlagen, die er geliefert hat, nach ATEX-Richtlinie für die Zonen 21 und 22 ausgeführt.</w:t>
      </w:r>
    </w:p>
    <w:p w14:paraId="4E260DCF" w14:textId="21FB7444" w:rsidR="00C53D06" w:rsidRPr="00C53D06" w:rsidRDefault="00C53D06" w:rsidP="00C53D06">
      <w:pPr>
        <w:spacing w:line="360" w:lineRule="auto"/>
        <w:rPr>
          <w:rFonts w:cs="Arial"/>
          <w:szCs w:val="22"/>
        </w:rPr>
      </w:pPr>
    </w:p>
    <w:p w14:paraId="5935031F" w14:textId="4C0E4B37" w:rsidR="00FA7E52" w:rsidRDefault="00674F9A" w:rsidP="00FA7E52">
      <w:pPr>
        <w:spacing w:line="360" w:lineRule="auto"/>
        <w:rPr>
          <w:rFonts w:cs="Arial"/>
          <w:szCs w:val="22"/>
        </w:rPr>
      </w:pPr>
      <w:r>
        <w:rPr>
          <w:rFonts w:cs="Arial"/>
          <w:szCs w:val="22"/>
        </w:rPr>
        <w:t xml:space="preserve">„Wir sind mit diesem Komplettsystem sehr zufrieden“, resümiert Franz Wratschko von der Lafarge Zementwerke GmbH. „Die Fördersysteme und die dazugehörigen Ausrüstungen greifen reibungslos ineinander und stellen eine kontinuierliche Beschickung mit Brennstoffen sicher.“ Die BEUMER Group konnte zeigen, dass sie bei der Handhabung alternativer Brennstoffe in der Zementindustrie umfangreiche Kompetenz besitzt und Kunden als Partner </w:t>
      </w:r>
      <w:r>
        <w:rPr>
          <w:rFonts w:cs="Arial"/>
          <w:szCs w:val="22"/>
        </w:rPr>
        <w:lastRenderedPageBreak/>
        <w:t>effizient unterstützen kann – und das innerhalb kurzer Zeit: Der Vertrag für dieses Projekt wurde im Mai 2018 unterzeichnet, in Betrieb genommen wurde die Anlage im Januar 2019.</w:t>
      </w:r>
    </w:p>
    <w:p w14:paraId="761D9C93" w14:textId="77777777" w:rsidR="0065355E" w:rsidRDefault="0065355E" w:rsidP="0065355E">
      <w:pPr>
        <w:spacing w:line="360" w:lineRule="auto"/>
        <w:rPr>
          <w:rFonts w:cs="Arial"/>
          <w:bCs/>
          <w:szCs w:val="22"/>
        </w:rPr>
      </w:pPr>
    </w:p>
    <w:p w14:paraId="690CBA7F" w14:textId="0E7800DA" w:rsidR="00642F10" w:rsidRPr="00C36852" w:rsidRDefault="0019127F" w:rsidP="0065355E">
      <w:pPr>
        <w:spacing w:line="360" w:lineRule="auto"/>
        <w:rPr>
          <w:rFonts w:cs="Arial"/>
          <w:bCs/>
          <w:i/>
          <w:szCs w:val="22"/>
        </w:rPr>
      </w:pPr>
      <w:r>
        <w:rPr>
          <w:rFonts w:cs="Arial"/>
          <w:bCs/>
          <w:i/>
          <w:szCs w:val="22"/>
        </w:rPr>
        <w:t>9.</w:t>
      </w:r>
      <w:r w:rsidR="00C458FA">
        <w:rPr>
          <w:rFonts w:cs="Arial"/>
          <w:bCs/>
          <w:i/>
          <w:szCs w:val="22"/>
        </w:rPr>
        <w:t>187</w:t>
      </w:r>
      <w:r>
        <w:rPr>
          <w:rFonts w:cs="Arial"/>
          <w:bCs/>
          <w:i/>
          <w:szCs w:val="22"/>
        </w:rPr>
        <w:t xml:space="preserve"> Zeichen inkl. Leerzeichen</w:t>
      </w:r>
    </w:p>
    <w:p w14:paraId="285B8729" w14:textId="77777777" w:rsidR="00572F23" w:rsidRDefault="00572F23" w:rsidP="00A13611">
      <w:pPr>
        <w:spacing w:line="360" w:lineRule="auto"/>
        <w:rPr>
          <w:rFonts w:cs="Arial"/>
          <w:b/>
          <w:bCs/>
          <w:szCs w:val="22"/>
        </w:rPr>
      </w:pPr>
    </w:p>
    <w:p w14:paraId="5A5CEE62" w14:textId="77777777" w:rsidR="00572F23" w:rsidRDefault="00572F23" w:rsidP="00A13611">
      <w:pPr>
        <w:spacing w:line="360" w:lineRule="auto"/>
        <w:rPr>
          <w:rFonts w:cs="Arial"/>
          <w:b/>
          <w:bCs/>
          <w:szCs w:val="22"/>
        </w:rPr>
      </w:pPr>
    </w:p>
    <w:p w14:paraId="3A32122C" w14:textId="50D49EAA" w:rsidR="006C36D2" w:rsidRPr="00C36852" w:rsidRDefault="00A13611" w:rsidP="00A13611">
      <w:pPr>
        <w:spacing w:line="360" w:lineRule="auto"/>
        <w:rPr>
          <w:rFonts w:cs="Arial"/>
          <w:i/>
          <w:sz w:val="20"/>
        </w:rPr>
      </w:pPr>
      <w:r>
        <w:rPr>
          <w:rFonts w:cs="Arial"/>
          <w:b/>
          <w:bCs/>
          <w:i/>
          <w:sz w:val="20"/>
        </w:rPr>
        <w:t>Meta-Title</w:t>
      </w:r>
      <w:r>
        <w:rPr>
          <w:rFonts w:cs="Arial"/>
          <w:i/>
          <w:sz w:val="20"/>
        </w:rPr>
        <w:t>: Lafarge Zementwerke GmbH setzt im österreichischen Retznei auf Komplettlösung von BEUMER</w:t>
      </w:r>
    </w:p>
    <w:p w14:paraId="2DF00365" w14:textId="77777777" w:rsidR="006C36D2" w:rsidRPr="00C36852" w:rsidRDefault="006C36D2" w:rsidP="006C36D2">
      <w:pPr>
        <w:spacing w:line="360" w:lineRule="auto"/>
        <w:rPr>
          <w:rFonts w:cs="Arial"/>
          <w:i/>
          <w:sz w:val="20"/>
        </w:rPr>
      </w:pPr>
    </w:p>
    <w:p w14:paraId="6BBEF243" w14:textId="24BCAFF4" w:rsidR="006C36D2" w:rsidRPr="00C36852" w:rsidRDefault="00A13611" w:rsidP="00A13611">
      <w:pPr>
        <w:spacing w:line="360" w:lineRule="auto"/>
        <w:rPr>
          <w:rFonts w:cs="Arial"/>
          <w:i/>
          <w:sz w:val="20"/>
        </w:rPr>
      </w:pPr>
      <w:r>
        <w:rPr>
          <w:rFonts w:cs="Arial"/>
          <w:b/>
          <w:bCs/>
          <w:i/>
          <w:sz w:val="20"/>
        </w:rPr>
        <w:t>Meta-Description</w:t>
      </w:r>
      <w:r>
        <w:rPr>
          <w:rFonts w:cs="Arial"/>
          <w:i/>
          <w:sz w:val="20"/>
        </w:rPr>
        <w:t>: Lafarge Zementwerke GmbH setzt in Retznei auf alternative Brenn- und Rohstoffe. Die BEUMER Group lieferte eine Komplettlösung, die das Material fördert, lagert und dosiert.</w:t>
      </w:r>
    </w:p>
    <w:p w14:paraId="1760D380" w14:textId="77777777" w:rsidR="006C36D2" w:rsidRPr="00C36852" w:rsidRDefault="006C36D2" w:rsidP="006C36D2">
      <w:pPr>
        <w:spacing w:line="360" w:lineRule="auto"/>
        <w:rPr>
          <w:rFonts w:cs="Arial"/>
          <w:i/>
          <w:sz w:val="20"/>
        </w:rPr>
      </w:pPr>
    </w:p>
    <w:p w14:paraId="789EA359" w14:textId="6DD394B8" w:rsidR="006C36D2" w:rsidRPr="002506AC" w:rsidRDefault="00A13611" w:rsidP="00A13611">
      <w:pPr>
        <w:spacing w:line="360" w:lineRule="auto"/>
        <w:contextualSpacing/>
        <w:rPr>
          <w:i/>
          <w:sz w:val="20"/>
        </w:rPr>
      </w:pPr>
      <w:r>
        <w:rPr>
          <w:rFonts w:cs="Arial"/>
          <w:b/>
          <w:bCs/>
          <w:i/>
          <w:sz w:val="20"/>
        </w:rPr>
        <w:t>Keywords</w:t>
      </w:r>
      <w:r>
        <w:rPr>
          <w:rFonts w:cs="Arial"/>
          <w:i/>
          <w:sz w:val="20"/>
        </w:rPr>
        <w:t>: BEUMER Group; U-Förderer; BG Opti Feed; Schüttgut; LafargeHolcim; Lafarge Zementwerke GmbH; Zement; Kalzinator; Rohstoffe; alternative Brennstoffe</w:t>
      </w:r>
    </w:p>
    <w:p w14:paraId="334B3FAD" w14:textId="77777777" w:rsidR="00572F23" w:rsidRPr="002506AC" w:rsidRDefault="00572F23" w:rsidP="00A13611">
      <w:pPr>
        <w:spacing w:line="360" w:lineRule="auto"/>
        <w:rPr>
          <w:rFonts w:cs="Arial"/>
          <w:b/>
          <w:bCs/>
          <w:i/>
          <w:sz w:val="20"/>
        </w:rPr>
      </w:pPr>
    </w:p>
    <w:p w14:paraId="640F6D9C" w14:textId="517EAC49" w:rsidR="00C36852" w:rsidRPr="00C36852" w:rsidRDefault="00C36852" w:rsidP="00C36852">
      <w:pPr>
        <w:autoSpaceDE w:val="0"/>
        <w:autoSpaceDN w:val="0"/>
        <w:adjustRightInd w:val="0"/>
        <w:spacing w:line="360" w:lineRule="auto"/>
        <w:rPr>
          <w:b/>
          <w:i/>
          <w:color w:val="000000"/>
          <w:sz w:val="20"/>
        </w:rPr>
      </w:pPr>
      <w:bookmarkStart w:id="1" w:name="_Hlk45693938"/>
      <w:r>
        <w:rPr>
          <w:rFonts w:cs="Arial"/>
          <w:b/>
          <w:bCs/>
          <w:i/>
          <w:sz w:val="20"/>
        </w:rPr>
        <w:t>Social Media:</w:t>
      </w:r>
      <w:r>
        <w:rPr>
          <w:rFonts w:cs="Arial"/>
          <w:i/>
          <w:sz w:val="20"/>
        </w:rPr>
        <w:t xml:space="preserve"> Für einen wirtschaftlichen und nachhaltigen Betrieb setzt die Lafarge Zementwerke GmbH im österreichischen Werk Retznei auf alternative Brenn- und Rohstoffe, um den neuen Kalzinator zu befeuern. Um das ofenfertige Material effizient zu fördern, zu lagern und zu dosieren, beauftragte der Hersteller die BEUMER Group, eine individuelle Komplettlösung zu erarbeiten. Kern dieser Systemlösung ist ein U-Förderer: Das Fördersystem transportiert die aufbereiteten Abfälle umweltfreundlich, staubfrei und energiearm. Der Vertrag für dieses Projekt wurde im Mai 2018 unterzeichnet, in Betrieb ging die Anlage im Januar 2019.</w:t>
      </w:r>
    </w:p>
    <w:p w14:paraId="7191BDF7" w14:textId="77777777" w:rsidR="00AF72E6" w:rsidRPr="00C36852" w:rsidRDefault="00AF72E6" w:rsidP="00AF72E6">
      <w:pPr>
        <w:spacing w:line="360" w:lineRule="auto"/>
        <w:rPr>
          <w:i/>
          <w:sz w:val="20"/>
        </w:rPr>
      </w:pPr>
    </w:p>
    <w:p w14:paraId="308795C7" w14:textId="77777777" w:rsidR="00AF72E6" w:rsidRPr="00C36852" w:rsidRDefault="00AF72E6" w:rsidP="00AF72E6">
      <w:pPr>
        <w:spacing w:line="360" w:lineRule="auto"/>
        <w:rPr>
          <w:sz w:val="20"/>
        </w:rPr>
      </w:pPr>
    </w:p>
    <w:bookmarkEnd w:id="1"/>
    <w:p w14:paraId="17E17F7B" w14:textId="77777777" w:rsidR="00CC383E" w:rsidRPr="00C36852" w:rsidRDefault="00CC383E" w:rsidP="00E24004">
      <w:pPr>
        <w:spacing w:line="360" w:lineRule="auto"/>
        <w:rPr>
          <w:rFonts w:cs="Arial"/>
          <w:sz w:val="20"/>
        </w:rPr>
      </w:pPr>
    </w:p>
    <w:p w14:paraId="40E4405D" w14:textId="28B942CD" w:rsidR="00E24004" w:rsidRDefault="00E24004" w:rsidP="00E24004">
      <w:pPr>
        <w:autoSpaceDE w:val="0"/>
        <w:autoSpaceDN w:val="0"/>
        <w:adjustRightInd w:val="0"/>
        <w:spacing w:line="360" w:lineRule="auto"/>
        <w:rPr>
          <w:sz w:val="20"/>
        </w:rPr>
      </w:pPr>
    </w:p>
    <w:p w14:paraId="66448438" w14:textId="6D9138B3" w:rsidR="002506AC" w:rsidRDefault="002506AC" w:rsidP="00E24004">
      <w:pPr>
        <w:autoSpaceDE w:val="0"/>
        <w:autoSpaceDN w:val="0"/>
        <w:adjustRightInd w:val="0"/>
        <w:spacing w:line="360" w:lineRule="auto"/>
        <w:rPr>
          <w:sz w:val="20"/>
        </w:rPr>
      </w:pPr>
    </w:p>
    <w:p w14:paraId="7DB3D8D8" w14:textId="77777777" w:rsidR="00D15389" w:rsidRDefault="00D15389" w:rsidP="00743626">
      <w:pPr>
        <w:ind w:right="-704"/>
        <w:contextualSpacing/>
        <w:rPr>
          <w:sz w:val="20"/>
        </w:rPr>
      </w:pPr>
    </w:p>
    <w:p w14:paraId="75337D4B" w14:textId="1760F56B" w:rsidR="00D32B13" w:rsidRPr="00743626" w:rsidRDefault="00A13611" w:rsidP="00743626">
      <w:pPr>
        <w:ind w:right="-704"/>
        <w:contextualSpacing/>
        <w:rPr>
          <w:rFonts w:cs="Arial"/>
          <w:b/>
          <w:bCs/>
          <w:sz w:val="20"/>
        </w:rPr>
      </w:pPr>
      <w:r>
        <w:rPr>
          <w:rFonts w:cs="Arial"/>
          <w:b/>
          <w:bCs/>
          <w:sz w:val="20"/>
        </w:rPr>
        <w:t>Bildunterschriften:</w:t>
      </w:r>
    </w:p>
    <w:p w14:paraId="5574552F" w14:textId="223BE5BF" w:rsidR="00D32B13" w:rsidRPr="00D15389" w:rsidRDefault="00D32B13" w:rsidP="00D32B13">
      <w:pPr>
        <w:spacing w:before="100" w:beforeAutospacing="1" w:after="100" w:afterAutospacing="1"/>
        <w:contextualSpacing/>
        <w:rPr>
          <w:rFonts w:cs="Arial"/>
          <w:color w:val="000000"/>
          <w:sz w:val="20"/>
        </w:rPr>
      </w:pPr>
      <w:r w:rsidRPr="00C36852">
        <w:rPr>
          <w:rFonts w:cs="Arial"/>
          <w:noProof/>
          <w:color w:val="000000"/>
          <w:sz w:val="20"/>
        </w:rPr>
        <w:t> </w:t>
      </w:r>
    </w:p>
    <w:p w14:paraId="6AF4D3EC" w14:textId="77777777" w:rsidR="00D32B13" w:rsidRDefault="00D32B13" w:rsidP="00D32B13">
      <w:pPr>
        <w:spacing w:before="100" w:beforeAutospacing="1" w:after="100" w:afterAutospacing="1"/>
        <w:contextualSpacing/>
        <w:rPr>
          <w:rFonts w:cs="Arial"/>
          <w:b/>
          <w:bCs/>
          <w:sz w:val="20"/>
        </w:rPr>
      </w:pPr>
      <w:r>
        <w:rPr>
          <w:rFonts w:cs="Arial"/>
          <w:b/>
          <w:bCs/>
          <w:noProof/>
          <w:sz w:val="20"/>
        </w:rPr>
        <w:lastRenderedPageBreak/>
        <w:drawing>
          <wp:inline distT="0" distB="0" distL="0" distR="0" wp14:anchorId="242AE893" wp14:editId="0660FE9C">
            <wp:extent cx="2066925" cy="13779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cstate="email">
                      <a:extLst>
                        <a:ext uri="{28A0092B-C50C-407E-A947-70E740481C1C}">
                          <a14:useLocalDpi xmlns:a14="http://schemas.microsoft.com/office/drawing/2010/main"/>
                        </a:ext>
                      </a:extLst>
                    </a:blip>
                    <a:stretch>
                      <a:fillRect/>
                    </a:stretch>
                  </pic:blipFill>
                  <pic:spPr>
                    <a:xfrm>
                      <a:off x="0" y="0"/>
                      <a:ext cx="2066925" cy="1377950"/>
                    </a:xfrm>
                    <a:prstGeom prst="rect">
                      <a:avLst/>
                    </a:prstGeom>
                  </pic:spPr>
                </pic:pic>
              </a:graphicData>
            </a:graphic>
          </wp:inline>
        </w:drawing>
      </w:r>
    </w:p>
    <w:p w14:paraId="4D72FB7F" w14:textId="77777777" w:rsidR="00D32B13" w:rsidRPr="00C36852" w:rsidRDefault="00D32B13" w:rsidP="00D32B13">
      <w:pPr>
        <w:spacing w:before="100" w:beforeAutospacing="1" w:after="100" w:afterAutospacing="1"/>
        <w:contextualSpacing/>
        <w:rPr>
          <w:rFonts w:cs="Arial"/>
          <w:sz w:val="20"/>
        </w:rPr>
      </w:pPr>
      <w:r w:rsidRPr="00C36852">
        <w:rPr>
          <w:rFonts w:cs="Arial"/>
          <w:b/>
          <w:bCs/>
          <w:sz w:val="20"/>
        </w:rPr>
        <w:t>Bild 1:</w:t>
      </w:r>
      <w:r w:rsidRPr="00C36852">
        <w:rPr>
          <w:rFonts w:cs="Arial"/>
          <w:sz w:val="20"/>
        </w:rPr>
        <w:t xml:space="preserve"> </w:t>
      </w:r>
      <w:r w:rsidRPr="0042049C">
        <w:rPr>
          <w:rFonts w:cs="Arial"/>
          <w:sz w:val="20"/>
        </w:rPr>
        <w:t xml:space="preserve">Für einen wirtschaftlichen und nachhaltigen Betrieb setzt die Lafarge Zementwerke GmbH im österreichischen Werk </w:t>
      </w:r>
      <w:proofErr w:type="spellStart"/>
      <w:r w:rsidRPr="0042049C">
        <w:rPr>
          <w:rFonts w:cs="Arial"/>
          <w:sz w:val="20"/>
        </w:rPr>
        <w:t>Retznei</w:t>
      </w:r>
      <w:proofErr w:type="spellEnd"/>
      <w:r w:rsidRPr="0042049C">
        <w:rPr>
          <w:rFonts w:cs="Arial"/>
          <w:sz w:val="20"/>
        </w:rPr>
        <w:t xml:space="preserve"> auf alternative Brenn- und Rohstoffe, um den neuen </w:t>
      </w:r>
      <w:proofErr w:type="spellStart"/>
      <w:r w:rsidRPr="0042049C">
        <w:rPr>
          <w:rFonts w:cs="Arial"/>
          <w:sz w:val="20"/>
        </w:rPr>
        <w:t>Kalzinator</w:t>
      </w:r>
      <w:proofErr w:type="spellEnd"/>
      <w:r w:rsidRPr="0042049C">
        <w:rPr>
          <w:rFonts w:cs="Arial"/>
          <w:sz w:val="20"/>
        </w:rPr>
        <w:t xml:space="preserve"> zu befeuern</w:t>
      </w:r>
      <w:r>
        <w:rPr>
          <w:rFonts w:cs="Arial"/>
          <w:sz w:val="20"/>
        </w:rPr>
        <w:t>.</w:t>
      </w:r>
    </w:p>
    <w:p w14:paraId="4F270D3B" w14:textId="77777777" w:rsidR="00D32B13" w:rsidRDefault="00D32B13" w:rsidP="00D32B13">
      <w:pPr>
        <w:contextualSpacing/>
        <w:rPr>
          <w:rFonts w:cs="Arial"/>
          <w:color w:val="000000"/>
          <w:sz w:val="20"/>
        </w:rPr>
      </w:pPr>
    </w:p>
    <w:p w14:paraId="28335EF6" w14:textId="77777777" w:rsidR="00D32B13" w:rsidRDefault="00D32B13" w:rsidP="00D32B13">
      <w:pPr>
        <w:contextualSpacing/>
        <w:rPr>
          <w:rFonts w:cs="Arial"/>
          <w:color w:val="000000"/>
          <w:sz w:val="20"/>
        </w:rPr>
      </w:pPr>
    </w:p>
    <w:p w14:paraId="55CEC4A1" w14:textId="77777777" w:rsidR="00D32B13" w:rsidRPr="00C36852" w:rsidRDefault="00D32B13" w:rsidP="00D32B13">
      <w:pPr>
        <w:contextualSpacing/>
        <w:rPr>
          <w:rFonts w:cs="Arial"/>
          <w:color w:val="000000"/>
          <w:sz w:val="20"/>
        </w:rPr>
      </w:pPr>
      <w:r>
        <w:rPr>
          <w:rFonts w:cs="Arial"/>
          <w:noProof/>
          <w:color w:val="000000"/>
          <w:sz w:val="20"/>
        </w:rPr>
        <w:drawing>
          <wp:inline distT="0" distB="0" distL="0" distR="0" wp14:anchorId="4C03D368" wp14:editId="5D2ECEFD">
            <wp:extent cx="2043112" cy="13620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email">
                      <a:extLst>
                        <a:ext uri="{28A0092B-C50C-407E-A947-70E740481C1C}">
                          <a14:useLocalDpi xmlns:a14="http://schemas.microsoft.com/office/drawing/2010/main"/>
                        </a:ext>
                      </a:extLst>
                    </a:blip>
                    <a:stretch>
                      <a:fillRect/>
                    </a:stretch>
                  </pic:blipFill>
                  <pic:spPr>
                    <a:xfrm>
                      <a:off x="0" y="0"/>
                      <a:ext cx="2046803" cy="1364535"/>
                    </a:xfrm>
                    <a:prstGeom prst="rect">
                      <a:avLst/>
                    </a:prstGeom>
                  </pic:spPr>
                </pic:pic>
              </a:graphicData>
            </a:graphic>
          </wp:inline>
        </w:drawing>
      </w:r>
    </w:p>
    <w:p w14:paraId="785A3657" w14:textId="77777777" w:rsidR="00D32B13" w:rsidRPr="00C36852" w:rsidRDefault="00D32B13" w:rsidP="00D32B13">
      <w:pPr>
        <w:ind w:right="-704"/>
        <w:contextualSpacing/>
        <w:rPr>
          <w:rFonts w:cs="Arial"/>
          <w:sz w:val="20"/>
        </w:rPr>
      </w:pPr>
      <w:r w:rsidRPr="00C36852">
        <w:rPr>
          <w:rFonts w:cs="Arial"/>
          <w:b/>
          <w:bCs/>
          <w:sz w:val="20"/>
        </w:rPr>
        <w:t>Bild 2:</w:t>
      </w:r>
      <w:r w:rsidRPr="00C36852">
        <w:rPr>
          <w:rFonts w:cs="Arial"/>
          <w:sz w:val="20"/>
        </w:rPr>
        <w:t xml:space="preserve"> </w:t>
      </w:r>
      <w:r>
        <w:rPr>
          <w:rFonts w:cs="Arial"/>
          <w:sz w:val="20"/>
        </w:rPr>
        <w:t xml:space="preserve">Die </w:t>
      </w:r>
      <w:r w:rsidRPr="0042049C">
        <w:rPr>
          <w:rFonts w:cs="Arial"/>
          <w:sz w:val="20"/>
        </w:rPr>
        <w:t>BEUMER Grou</w:t>
      </w:r>
      <w:r>
        <w:rPr>
          <w:rFonts w:cs="Arial"/>
          <w:sz w:val="20"/>
        </w:rPr>
        <w:t>p</w:t>
      </w:r>
      <w:r w:rsidRPr="0042049C">
        <w:rPr>
          <w:rFonts w:cs="Arial"/>
          <w:sz w:val="20"/>
        </w:rPr>
        <w:t xml:space="preserve"> erarbeite</w:t>
      </w:r>
      <w:r>
        <w:rPr>
          <w:rFonts w:cs="Arial"/>
          <w:sz w:val="20"/>
        </w:rPr>
        <w:t>te</w:t>
      </w:r>
      <w:r w:rsidRPr="0042049C">
        <w:rPr>
          <w:rFonts w:cs="Arial"/>
          <w:sz w:val="20"/>
        </w:rPr>
        <w:t xml:space="preserve"> eine individuelle Komplettlösung</w:t>
      </w:r>
      <w:r>
        <w:rPr>
          <w:rFonts w:cs="Arial"/>
          <w:sz w:val="20"/>
        </w:rPr>
        <w:t xml:space="preserve">. </w:t>
      </w:r>
    </w:p>
    <w:p w14:paraId="37E3B05A" w14:textId="77777777" w:rsidR="00D32B13" w:rsidRPr="00C36852" w:rsidRDefault="00D32B13" w:rsidP="00D32B13">
      <w:pPr>
        <w:spacing w:before="100" w:beforeAutospacing="1" w:after="100" w:afterAutospacing="1"/>
        <w:contextualSpacing/>
        <w:rPr>
          <w:rFonts w:cs="Arial"/>
          <w:color w:val="000000"/>
          <w:sz w:val="20"/>
        </w:rPr>
      </w:pPr>
    </w:p>
    <w:p w14:paraId="34F13334" w14:textId="77777777" w:rsidR="00D32B13" w:rsidRDefault="00D32B13" w:rsidP="00D32B13">
      <w:pPr>
        <w:spacing w:before="100" w:beforeAutospacing="1" w:after="100" w:afterAutospacing="1"/>
        <w:contextualSpacing/>
        <w:rPr>
          <w:rFonts w:cs="Arial"/>
          <w:color w:val="000000"/>
          <w:sz w:val="20"/>
        </w:rPr>
      </w:pPr>
    </w:p>
    <w:p w14:paraId="244628CF" w14:textId="77777777" w:rsidR="00D32B13" w:rsidRDefault="00D32B13" w:rsidP="00D32B13">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198A1CA8" wp14:editId="636A99CF">
            <wp:extent cx="2043112" cy="13620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email">
                      <a:extLst>
                        <a:ext uri="{28A0092B-C50C-407E-A947-70E740481C1C}">
                          <a14:useLocalDpi xmlns:a14="http://schemas.microsoft.com/office/drawing/2010/main"/>
                        </a:ext>
                      </a:extLst>
                    </a:blip>
                    <a:stretch>
                      <a:fillRect/>
                    </a:stretch>
                  </pic:blipFill>
                  <pic:spPr>
                    <a:xfrm>
                      <a:off x="0" y="0"/>
                      <a:ext cx="2049785" cy="1366524"/>
                    </a:xfrm>
                    <a:prstGeom prst="rect">
                      <a:avLst/>
                    </a:prstGeom>
                  </pic:spPr>
                </pic:pic>
              </a:graphicData>
            </a:graphic>
          </wp:inline>
        </w:drawing>
      </w:r>
    </w:p>
    <w:p w14:paraId="32985BA6" w14:textId="77777777" w:rsidR="00D32B13" w:rsidRDefault="00D32B13" w:rsidP="00D32B13">
      <w:pPr>
        <w:spacing w:before="100" w:beforeAutospacing="1" w:after="100" w:afterAutospacing="1"/>
        <w:contextualSpacing/>
        <w:rPr>
          <w:rFonts w:cs="Arial"/>
          <w:color w:val="000000"/>
          <w:sz w:val="20"/>
        </w:rPr>
      </w:pPr>
    </w:p>
    <w:p w14:paraId="1A00CFF7" w14:textId="77777777" w:rsidR="00D32B13" w:rsidRPr="00F605B5" w:rsidRDefault="00D32B13" w:rsidP="00D32B13">
      <w:pPr>
        <w:spacing w:before="100" w:beforeAutospacing="1" w:after="100" w:afterAutospacing="1"/>
        <w:contextualSpacing/>
        <w:rPr>
          <w:rFonts w:cs="Arial"/>
          <w:color w:val="000000"/>
          <w:sz w:val="20"/>
        </w:rPr>
      </w:pPr>
      <w:r w:rsidRPr="00F605B5">
        <w:rPr>
          <w:rFonts w:cs="Arial"/>
          <w:b/>
          <w:bCs/>
          <w:color w:val="000000"/>
          <w:sz w:val="20"/>
        </w:rPr>
        <w:t>Bild 3:</w:t>
      </w:r>
      <w:r w:rsidRPr="00F605B5">
        <w:rPr>
          <w:rFonts w:cs="Arial"/>
          <w:color w:val="000000"/>
          <w:sz w:val="20"/>
        </w:rPr>
        <w:t xml:space="preserve"> </w:t>
      </w:r>
      <w:r>
        <w:rPr>
          <w:rFonts w:cs="Arial"/>
          <w:color w:val="000000"/>
          <w:sz w:val="20"/>
        </w:rPr>
        <w:t xml:space="preserve">Die BG </w:t>
      </w:r>
      <w:proofErr w:type="spellStart"/>
      <w:r>
        <w:rPr>
          <w:rFonts w:cs="Arial"/>
          <w:color w:val="000000"/>
          <w:sz w:val="20"/>
        </w:rPr>
        <w:t>OptiFeed</w:t>
      </w:r>
      <w:proofErr w:type="spellEnd"/>
      <w:r>
        <w:rPr>
          <w:rFonts w:cs="Arial"/>
          <w:color w:val="000000"/>
          <w:sz w:val="20"/>
        </w:rPr>
        <w:t xml:space="preserve"> ist ein </w:t>
      </w:r>
      <w:r w:rsidRPr="00F605B5">
        <w:rPr>
          <w:rFonts w:cs="Arial"/>
          <w:sz w:val="20"/>
        </w:rPr>
        <w:t xml:space="preserve">Schneckenförderer mit </w:t>
      </w:r>
      <w:proofErr w:type="spellStart"/>
      <w:r w:rsidRPr="00F605B5">
        <w:rPr>
          <w:rFonts w:cs="Arial"/>
          <w:sz w:val="20"/>
        </w:rPr>
        <w:t>Wägezellen</w:t>
      </w:r>
      <w:proofErr w:type="spellEnd"/>
      <w:r>
        <w:rPr>
          <w:rFonts w:cs="Arial"/>
          <w:sz w:val="20"/>
        </w:rPr>
        <w:t>. Damit</w:t>
      </w:r>
      <w:r>
        <w:rPr>
          <w:rFonts w:cs="Arial"/>
          <w:color w:val="000000"/>
          <w:sz w:val="20"/>
        </w:rPr>
        <w:t xml:space="preserve"> kann das </w:t>
      </w:r>
      <w:r w:rsidRPr="00F605B5">
        <w:rPr>
          <w:rFonts w:cs="Arial"/>
          <w:sz w:val="20"/>
        </w:rPr>
        <w:t>Material kontinuierlich dosier</w:t>
      </w:r>
      <w:r>
        <w:rPr>
          <w:rFonts w:cs="Arial"/>
          <w:sz w:val="20"/>
        </w:rPr>
        <w:t xml:space="preserve">t werden. </w:t>
      </w:r>
    </w:p>
    <w:p w14:paraId="2C36F659" w14:textId="77777777" w:rsidR="00D32B13" w:rsidRDefault="00D32B13" w:rsidP="00D32B13">
      <w:pPr>
        <w:spacing w:before="100" w:beforeAutospacing="1" w:after="100" w:afterAutospacing="1"/>
        <w:contextualSpacing/>
        <w:rPr>
          <w:rFonts w:cs="Arial"/>
          <w:color w:val="000000"/>
          <w:sz w:val="20"/>
        </w:rPr>
      </w:pPr>
    </w:p>
    <w:p w14:paraId="53956FF9" w14:textId="77777777" w:rsidR="00D32B13" w:rsidRDefault="00D32B13" w:rsidP="00D32B13">
      <w:pPr>
        <w:spacing w:before="100" w:beforeAutospacing="1" w:after="100" w:afterAutospacing="1"/>
        <w:contextualSpacing/>
        <w:rPr>
          <w:rFonts w:cs="Arial"/>
          <w:color w:val="000000"/>
          <w:sz w:val="20"/>
        </w:rPr>
      </w:pPr>
    </w:p>
    <w:p w14:paraId="26F593C7" w14:textId="77777777" w:rsidR="00D32B13" w:rsidRDefault="00D32B13" w:rsidP="00D32B13">
      <w:pPr>
        <w:spacing w:before="100" w:beforeAutospacing="1" w:after="100" w:afterAutospacing="1"/>
        <w:contextualSpacing/>
        <w:rPr>
          <w:rFonts w:cs="Arial"/>
          <w:color w:val="000000"/>
          <w:sz w:val="20"/>
        </w:rPr>
      </w:pPr>
      <w:r>
        <w:rPr>
          <w:rFonts w:cs="Arial"/>
          <w:noProof/>
          <w:color w:val="000000"/>
          <w:sz w:val="20"/>
        </w:rPr>
        <w:lastRenderedPageBreak/>
        <w:drawing>
          <wp:inline distT="0" distB="0" distL="0" distR="0" wp14:anchorId="7EDFCD2A" wp14:editId="04E98576">
            <wp:extent cx="2447925" cy="1631950"/>
            <wp:effectExtent l="0" t="0" r="9525"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email">
                      <a:extLst>
                        <a:ext uri="{28A0092B-C50C-407E-A947-70E740481C1C}">
                          <a14:useLocalDpi xmlns:a14="http://schemas.microsoft.com/office/drawing/2010/main"/>
                        </a:ext>
                      </a:extLst>
                    </a:blip>
                    <a:stretch>
                      <a:fillRect/>
                    </a:stretch>
                  </pic:blipFill>
                  <pic:spPr>
                    <a:xfrm>
                      <a:off x="0" y="0"/>
                      <a:ext cx="2455264" cy="1636843"/>
                    </a:xfrm>
                    <a:prstGeom prst="rect">
                      <a:avLst/>
                    </a:prstGeom>
                  </pic:spPr>
                </pic:pic>
              </a:graphicData>
            </a:graphic>
          </wp:inline>
        </w:drawing>
      </w:r>
    </w:p>
    <w:p w14:paraId="3632F77C" w14:textId="77777777" w:rsidR="00D32B13" w:rsidRDefault="00D32B13" w:rsidP="00D32B13">
      <w:pPr>
        <w:spacing w:before="100" w:beforeAutospacing="1" w:after="100" w:afterAutospacing="1"/>
        <w:contextualSpacing/>
        <w:rPr>
          <w:rFonts w:cs="Arial"/>
          <w:color w:val="000000"/>
          <w:sz w:val="20"/>
        </w:rPr>
      </w:pPr>
    </w:p>
    <w:p w14:paraId="5C4D20BE" w14:textId="77777777" w:rsidR="00D32B13" w:rsidRDefault="00D32B13" w:rsidP="00D32B13">
      <w:pPr>
        <w:spacing w:before="100" w:beforeAutospacing="1" w:after="100" w:afterAutospacing="1"/>
        <w:contextualSpacing/>
        <w:rPr>
          <w:rFonts w:cs="Arial"/>
          <w:color w:val="000000"/>
          <w:sz w:val="20"/>
        </w:rPr>
      </w:pPr>
      <w:r w:rsidRPr="00F605B5">
        <w:rPr>
          <w:rFonts w:cs="Arial"/>
          <w:b/>
          <w:bCs/>
          <w:color w:val="000000"/>
          <w:sz w:val="20"/>
        </w:rPr>
        <w:t>Bild 4:</w:t>
      </w:r>
      <w:r>
        <w:rPr>
          <w:rFonts w:cs="Arial"/>
          <w:color w:val="000000"/>
          <w:sz w:val="20"/>
        </w:rPr>
        <w:t xml:space="preserve"> </w:t>
      </w:r>
      <w:r w:rsidRPr="00F605B5">
        <w:rPr>
          <w:rFonts w:cs="Arial"/>
          <w:color w:val="000000"/>
          <w:sz w:val="20"/>
        </w:rPr>
        <w:t xml:space="preserve">Die BG </w:t>
      </w:r>
      <w:proofErr w:type="spellStart"/>
      <w:r w:rsidRPr="00F605B5">
        <w:rPr>
          <w:rFonts w:cs="Arial"/>
          <w:color w:val="000000"/>
          <w:sz w:val="20"/>
        </w:rPr>
        <w:t>OptiBulk</w:t>
      </w:r>
      <w:proofErr w:type="spellEnd"/>
      <w:r w:rsidRPr="00F605B5">
        <w:rPr>
          <w:rFonts w:cs="Arial"/>
          <w:color w:val="000000"/>
          <w:sz w:val="20"/>
        </w:rPr>
        <w:t>-AF ist mit einem speziellen Gehäuse ausgestattet, das die Umgebung vor Staubaustritt und das Material vor Umgebungseinflüssen schützt.</w:t>
      </w:r>
    </w:p>
    <w:p w14:paraId="15EE0AEB" w14:textId="77777777" w:rsidR="00D32B13" w:rsidRDefault="00D32B13" w:rsidP="00D32B13">
      <w:pPr>
        <w:spacing w:before="100" w:beforeAutospacing="1" w:after="100" w:afterAutospacing="1"/>
        <w:contextualSpacing/>
        <w:rPr>
          <w:rFonts w:cs="Arial"/>
          <w:color w:val="000000"/>
          <w:sz w:val="20"/>
        </w:rPr>
      </w:pPr>
    </w:p>
    <w:p w14:paraId="68259071" w14:textId="77777777" w:rsidR="00D32B13" w:rsidRDefault="00D32B13" w:rsidP="00D32B13">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16A4B373" wp14:editId="6A215761">
            <wp:extent cx="2266950" cy="1511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email">
                      <a:extLst>
                        <a:ext uri="{28A0092B-C50C-407E-A947-70E740481C1C}">
                          <a14:useLocalDpi xmlns:a14="http://schemas.microsoft.com/office/drawing/2010/main"/>
                        </a:ext>
                      </a:extLst>
                    </a:blip>
                    <a:stretch>
                      <a:fillRect/>
                    </a:stretch>
                  </pic:blipFill>
                  <pic:spPr>
                    <a:xfrm>
                      <a:off x="0" y="0"/>
                      <a:ext cx="2277634" cy="1518423"/>
                    </a:xfrm>
                    <a:prstGeom prst="rect">
                      <a:avLst/>
                    </a:prstGeom>
                  </pic:spPr>
                </pic:pic>
              </a:graphicData>
            </a:graphic>
          </wp:inline>
        </w:drawing>
      </w:r>
    </w:p>
    <w:p w14:paraId="04232C4D" w14:textId="77777777" w:rsidR="00D32B13" w:rsidRPr="00C36852" w:rsidRDefault="00D32B13" w:rsidP="00D32B13">
      <w:pPr>
        <w:spacing w:before="100" w:beforeAutospacing="1" w:after="100" w:afterAutospacing="1"/>
        <w:contextualSpacing/>
        <w:rPr>
          <w:rFonts w:cs="Arial"/>
          <w:color w:val="000000"/>
          <w:sz w:val="20"/>
        </w:rPr>
      </w:pPr>
    </w:p>
    <w:p w14:paraId="54673301" w14:textId="77777777" w:rsidR="00D32B13" w:rsidRDefault="00D32B13" w:rsidP="00D32B13">
      <w:pPr>
        <w:spacing w:before="100" w:beforeAutospacing="1" w:after="100" w:afterAutospacing="1"/>
        <w:contextualSpacing/>
        <w:rPr>
          <w:rFonts w:cs="Arial"/>
          <w:color w:val="000000"/>
          <w:sz w:val="20"/>
        </w:rPr>
      </w:pPr>
      <w:r w:rsidRPr="00F605B5">
        <w:rPr>
          <w:rFonts w:cs="Arial"/>
          <w:b/>
          <w:bCs/>
          <w:color w:val="000000"/>
          <w:sz w:val="20"/>
        </w:rPr>
        <w:t>Bild 5:</w:t>
      </w:r>
      <w:r>
        <w:rPr>
          <w:rFonts w:cs="Arial"/>
          <w:color w:val="000000"/>
          <w:sz w:val="20"/>
        </w:rPr>
        <w:t xml:space="preserve"> Die </w:t>
      </w:r>
      <w:r w:rsidRPr="00F605B5">
        <w:rPr>
          <w:rFonts w:cs="Arial"/>
          <w:color w:val="000000"/>
          <w:sz w:val="20"/>
        </w:rPr>
        <w:t xml:space="preserve">Doppel-Abzugsschneckenförderer der Baureihe BG </w:t>
      </w:r>
      <w:proofErr w:type="spellStart"/>
      <w:r w:rsidRPr="00F605B5">
        <w:rPr>
          <w:rFonts w:cs="Arial"/>
          <w:color w:val="000000"/>
          <w:sz w:val="20"/>
        </w:rPr>
        <w:t>OptiLoc</w:t>
      </w:r>
      <w:r>
        <w:rPr>
          <w:rFonts w:cs="Arial"/>
          <w:color w:val="000000"/>
          <w:sz w:val="20"/>
        </w:rPr>
        <w:t>k</w:t>
      </w:r>
      <w:proofErr w:type="spellEnd"/>
      <w:r>
        <w:rPr>
          <w:rFonts w:cs="Arial"/>
          <w:color w:val="000000"/>
          <w:sz w:val="20"/>
        </w:rPr>
        <w:t xml:space="preserve">: </w:t>
      </w:r>
      <w:r w:rsidRPr="00F605B5">
        <w:rPr>
          <w:rFonts w:cs="Arial"/>
          <w:color w:val="000000"/>
          <w:sz w:val="20"/>
        </w:rPr>
        <w:t>Das Air-Lock-Prinzip schützt das Material vor der falschen Luft von außen, die in den Verbrennungsprozessen entstehen kann.</w:t>
      </w:r>
    </w:p>
    <w:p w14:paraId="161C8D93" w14:textId="77777777" w:rsidR="00D32B13" w:rsidRDefault="00D32B13" w:rsidP="00D32B13">
      <w:pPr>
        <w:spacing w:before="100" w:beforeAutospacing="1" w:after="100" w:afterAutospacing="1"/>
        <w:contextualSpacing/>
        <w:rPr>
          <w:rFonts w:cs="Arial"/>
          <w:color w:val="000000"/>
          <w:sz w:val="20"/>
        </w:rPr>
      </w:pPr>
    </w:p>
    <w:p w14:paraId="606FFC91" w14:textId="77777777" w:rsidR="00D32B13" w:rsidRDefault="00D32B13" w:rsidP="00D32B13">
      <w:pPr>
        <w:spacing w:before="100" w:beforeAutospacing="1" w:after="100" w:afterAutospacing="1"/>
        <w:contextualSpacing/>
        <w:rPr>
          <w:rFonts w:cs="Arial"/>
          <w:color w:val="000000"/>
          <w:sz w:val="20"/>
        </w:rPr>
      </w:pPr>
    </w:p>
    <w:p w14:paraId="43394169" w14:textId="77777777" w:rsidR="00D32B13" w:rsidRDefault="00D32B13" w:rsidP="00D32B13">
      <w:pPr>
        <w:spacing w:before="100" w:beforeAutospacing="1" w:after="100" w:afterAutospacing="1"/>
        <w:contextualSpacing/>
        <w:rPr>
          <w:rFonts w:cs="Arial"/>
          <w:color w:val="000000"/>
          <w:sz w:val="20"/>
        </w:rPr>
      </w:pPr>
      <w:r>
        <w:rPr>
          <w:rFonts w:cs="Arial"/>
          <w:noProof/>
          <w:color w:val="000000"/>
          <w:sz w:val="20"/>
        </w:rPr>
        <w:drawing>
          <wp:inline distT="0" distB="0" distL="0" distR="0" wp14:anchorId="56B94150" wp14:editId="04FC4989">
            <wp:extent cx="2324100" cy="15494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1" cstate="email">
                      <a:extLst>
                        <a:ext uri="{28A0092B-C50C-407E-A947-70E740481C1C}">
                          <a14:useLocalDpi xmlns:a14="http://schemas.microsoft.com/office/drawing/2010/main"/>
                        </a:ext>
                      </a:extLst>
                    </a:blip>
                    <a:stretch>
                      <a:fillRect/>
                    </a:stretch>
                  </pic:blipFill>
                  <pic:spPr>
                    <a:xfrm>
                      <a:off x="0" y="0"/>
                      <a:ext cx="2336241" cy="1557494"/>
                    </a:xfrm>
                    <a:prstGeom prst="rect">
                      <a:avLst/>
                    </a:prstGeom>
                  </pic:spPr>
                </pic:pic>
              </a:graphicData>
            </a:graphic>
          </wp:inline>
        </w:drawing>
      </w:r>
    </w:p>
    <w:p w14:paraId="068F20DB" w14:textId="77777777" w:rsidR="00D32B13" w:rsidRDefault="00D32B13" w:rsidP="00D32B13">
      <w:pPr>
        <w:spacing w:before="100" w:beforeAutospacing="1" w:after="100" w:afterAutospacing="1"/>
        <w:contextualSpacing/>
        <w:rPr>
          <w:rFonts w:cs="Arial"/>
          <w:color w:val="000000"/>
          <w:sz w:val="20"/>
        </w:rPr>
      </w:pPr>
    </w:p>
    <w:p w14:paraId="3BEC1E84" w14:textId="3DB4410F" w:rsidR="00D32B13" w:rsidRDefault="00D32B13" w:rsidP="00D32B13">
      <w:pPr>
        <w:spacing w:before="100" w:beforeAutospacing="1" w:after="100" w:afterAutospacing="1"/>
        <w:contextualSpacing/>
        <w:rPr>
          <w:rFonts w:cs="Arial"/>
          <w:color w:val="000000"/>
          <w:sz w:val="20"/>
        </w:rPr>
      </w:pPr>
      <w:r w:rsidRPr="00953EBB">
        <w:rPr>
          <w:rFonts w:cs="Arial"/>
          <w:b/>
          <w:bCs/>
          <w:color w:val="000000"/>
          <w:sz w:val="20"/>
        </w:rPr>
        <w:t>Bild 6:</w:t>
      </w:r>
      <w:r>
        <w:rPr>
          <w:rFonts w:cs="Arial"/>
          <w:color w:val="000000"/>
          <w:sz w:val="20"/>
        </w:rPr>
        <w:t xml:space="preserve"> </w:t>
      </w:r>
      <w:r w:rsidRPr="00953EBB">
        <w:rPr>
          <w:rFonts w:cs="Arial"/>
          <w:color w:val="000000"/>
          <w:sz w:val="20"/>
        </w:rPr>
        <w:t>Kern der Systemlösung ist ein U-</w:t>
      </w:r>
      <w:r w:rsidR="005E305F">
        <w:rPr>
          <w:rFonts w:cs="Arial"/>
          <w:color w:val="000000"/>
          <w:sz w:val="20"/>
        </w:rPr>
        <w:t>Förderer</w:t>
      </w:r>
      <w:r w:rsidRPr="00953EBB">
        <w:rPr>
          <w:rFonts w:cs="Arial"/>
          <w:color w:val="000000"/>
          <w:sz w:val="20"/>
        </w:rPr>
        <w:t>: Das Fördersystem transportiert die aufbereiteten Abfälle umweltfreundlich, staubfrei und energiearm</w:t>
      </w:r>
      <w:r>
        <w:rPr>
          <w:rFonts w:cs="Arial"/>
          <w:color w:val="000000"/>
          <w:sz w:val="20"/>
        </w:rPr>
        <w:t>.</w:t>
      </w:r>
    </w:p>
    <w:p w14:paraId="6C5B8731" w14:textId="77777777" w:rsidR="00D32B13" w:rsidRDefault="00D32B13" w:rsidP="00D32B13">
      <w:pPr>
        <w:spacing w:before="100" w:beforeAutospacing="1" w:after="100" w:afterAutospacing="1"/>
        <w:contextualSpacing/>
        <w:rPr>
          <w:rFonts w:cs="Arial"/>
          <w:color w:val="000000"/>
          <w:sz w:val="20"/>
        </w:rPr>
      </w:pPr>
    </w:p>
    <w:p w14:paraId="0E5E4975" w14:textId="77777777" w:rsidR="00D32B13" w:rsidRDefault="00D32B13" w:rsidP="00D32B13">
      <w:pPr>
        <w:spacing w:before="100" w:beforeAutospacing="1" w:after="100" w:afterAutospacing="1"/>
        <w:contextualSpacing/>
        <w:rPr>
          <w:rFonts w:cs="Arial"/>
          <w:color w:val="000000"/>
          <w:sz w:val="20"/>
        </w:rPr>
      </w:pPr>
    </w:p>
    <w:p w14:paraId="5234BB49" w14:textId="77777777" w:rsidR="00D32B13" w:rsidRDefault="00D32B13" w:rsidP="00D32B13">
      <w:pPr>
        <w:spacing w:before="100" w:beforeAutospacing="1" w:after="100" w:afterAutospacing="1"/>
        <w:contextualSpacing/>
        <w:rPr>
          <w:rFonts w:cs="Arial"/>
          <w:color w:val="000000"/>
          <w:sz w:val="20"/>
        </w:rPr>
      </w:pPr>
      <w:r>
        <w:rPr>
          <w:rFonts w:cs="Arial"/>
          <w:noProof/>
          <w:color w:val="000000"/>
          <w:sz w:val="20"/>
        </w:rPr>
        <w:lastRenderedPageBreak/>
        <w:drawing>
          <wp:inline distT="0" distB="0" distL="0" distR="0" wp14:anchorId="011657D0" wp14:editId="49E05D51">
            <wp:extent cx="2333625" cy="1555750"/>
            <wp:effectExtent l="0" t="0" r="9525" b="635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2" cstate="email">
                      <a:extLst>
                        <a:ext uri="{28A0092B-C50C-407E-A947-70E740481C1C}">
                          <a14:useLocalDpi xmlns:a14="http://schemas.microsoft.com/office/drawing/2010/main"/>
                        </a:ext>
                      </a:extLst>
                    </a:blip>
                    <a:stretch>
                      <a:fillRect/>
                    </a:stretch>
                  </pic:blipFill>
                  <pic:spPr>
                    <a:xfrm>
                      <a:off x="0" y="0"/>
                      <a:ext cx="2348832" cy="1565888"/>
                    </a:xfrm>
                    <a:prstGeom prst="rect">
                      <a:avLst/>
                    </a:prstGeom>
                  </pic:spPr>
                </pic:pic>
              </a:graphicData>
            </a:graphic>
          </wp:inline>
        </w:drawing>
      </w:r>
    </w:p>
    <w:p w14:paraId="4C01B8AF" w14:textId="77777777" w:rsidR="00D32B13" w:rsidRDefault="00D32B13" w:rsidP="00D32B13">
      <w:pPr>
        <w:spacing w:before="100" w:beforeAutospacing="1" w:after="100" w:afterAutospacing="1"/>
        <w:contextualSpacing/>
        <w:rPr>
          <w:rFonts w:cs="Arial"/>
          <w:color w:val="000000"/>
          <w:sz w:val="20"/>
        </w:rPr>
      </w:pPr>
    </w:p>
    <w:p w14:paraId="7916F141" w14:textId="34E97A46" w:rsidR="00D32B13" w:rsidRDefault="00D32B13" w:rsidP="00D32B13">
      <w:pPr>
        <w:spacing w:before="100" w:beforeAutospacing="1" w:after="100" w:afterAutospacing="1"/>
        <w:contextualSpacing/>
        <w:rPr>
          <w:rFonts w:cs="Arial"/>
          <w:color w:val="000000"/>
          <w:sz w:val="20"/>
        </w:rPr>
      </w:pPr>
      <w:r w:rsidRPr="00953EBB">
        <w:rPr>
          <w:rFonts w:cs="Arial"/>
          <w:b/>
          <w:bCs/>
          <w:color w:val="000000"/>
          <w:sz w:val="20"/>
        </w:rPr>
        <w:t>Bild 7:</w:t>
      </w:r>
      <w:r>
        <w:rPr>
          <w:rFonts w:cs="Arial"/>
          <w:color w:val="000000"/>
          <w:sz w:val="20"/>
        </w:rPr>
        <w:t xml:space="preserve"> </w:t>
      </w:r>
      <w:r w:rsidRPr="00953EBB">
        <w:rPr>
          <w:rFonts w:cs="Arial"/>
          <w:color w:val="000000"/>
          <w:sz w:val="20"/>
        </w:rPr>
        <w:t>U-</w:t>
      </w:r>
      <w:r w:rsidR="005E305F">
        <w:rPr>
          <w:rFonts w:cs="Arial"/>
          <w:color w:val="000000"/>
          <w:sz w:val="20"/>
        </w:rPr>
        <w:t xml:space="preserve">Förderer </w:t>
      </w:r>
      <w:r w:rsidRPr="00953EBB">
        <w:rPr>
          <w:rFonts w:cs="Arial"/>
          <w:color w:val="000000"/>
          <w:sz w:val="20"/>
        </w:rPr>
        <w:t>lassen sich einfach integrieren und eignen sich auch für horizontale und vertikale Kurven.</w:t>
      </w:r>
    </w:p>
    <w:p w14:paraId="00324919" w14:textId="77777777" w:rsidR="00D32B13" w:rsidRDefault="00D32B13" w:rsidP="00D32B13">
      <w:pPr>
        <w:spacing w:before="100" w:beforeAutospacing="1" w:after="100" w:afterAutospacing="1"/>
        <w:contextualSpacing/>
        <w:rPr>
          <w:rFonts w:cs="Arial"/>
          <w:color w:val="000000"/>
          <w:sz w:val="20"/>
        </w:rPr>
      </w:pPr>
    </w:p>
    <w:p w14:paraId="39F09CE7" w14:textId="77777777" w:rsidR="00C36852" w:rsidRPr="00C36852" w:rsidRDefault="00C36852" w:rsidP="00C36852">
      <w:pPr>
        <w:spacing w:before="100" w:beforeAutospacing="1" w:after="100" w:afterAutospacing="1"/>
        <w:contextualSpacing/>
        <w:rPr>
          <w:rFonts w:cs="Arial"/>
          <w:color w:val="000000"/>
          <w:sz w:val="20"/>
        </w:rPr>
      </w:pPr>
    </w:p>
    <w:p w14:paraId="509842D5" w14:textId="77777777" w:rsidR="00C36852" w:rsidRPr="00802391" w:rsidRDefault="00C36852" w:rsidP="00C36852">
      <w:pPr>
        <w:spacing w:line="360" w:lineRule="auto"/>
        <w:ind w:right="-704"/>
        <w:outlineLvl w:val="0"/>
        <w:rPr>
          <w:b/>
          <w:color w:val="000000"/>
          <w:sz w:val="20"/>
        </w:rPr>
      </w:pPr>
      <w:r>
        <w:rPr>
          <w:rFonts w:cs="Arial"/>
          <w:b/>
          <w:bCs/>
          <w:color w:val="000000"/>
          <w:sz w:val="20"/>
        </w:rPr>
        <w:t>Bildnachweis: BEUMER Group GmbH &amp; Co. KG</w:t>
      </w:r>
    </w:p>
    <w:p w14:paraId="0CE84403" w14:textId="2BBBAE89" w:rsidR="00C36852" w:rsidRDefault="00C36852" w:rsidP="00C36852">
      <w:pPr>
        <w:spacing w:line="360" w:lineRule="auto"/>
        <w:ind w:right="-704"/>
        <w:outlineLvl w:val="0"/>
        <w:rPr>
          <w:color w:val="000000"/>
          <w:sz w:val="20"/>
        </w:rPr>
      </w:pPr>
    </w:p>
    <w:p w14:paraId="5A23979B" w14:textId="210A95A5" w:rsidR="00C458FA" w:rsidRPr="00C458FA" w:rsidRDefault="00C458FA" w:rsidP="00C36852">
      <w:pPr>
        <w:spacing w:line="360" w:lineRule="auto"/>
        <w:ind w:right="-704"/>
        <w:outlineLvl w:val="0"/>
        <w:rPr>
          <w:color w:val="000000"/>
          <w:sz w:val="28"/>
        </w:rPr>
      </w:pPr>
      <w:r w:rsidRPr="00C458FA">
        <w:rPr>
          <w:rStyle w:val="Fett"/>
          <w:rFonts w:cs="Arial"/>
          <w:color w:val="FF0000"/>
          <w:sz w:val="24"/>
          <w:szCs w:val="18"/>
        </w:rPr>
        <w:t>Die druckfähigen Bilder finden Sie </w:t>
      </w:r>
      <w:hyperlink r:id="rId13" w:history="1">
        <w:r w:rsidRPr="00C458FA">
          <w:rPr>
            <w:rStyle w:val="Hyperlink"/>
            <w:rFonts w:ascii="Arial" w:hAnsi="Arial" w:cs="Arial"/>
            <w:b/>
            <w:bCs/>
            <w:color w:val="004688"/>
            <w:sz w:val="24"/>
            <w:szCs w:val="18"/>
          </w:rPr>
          <w:t>hier</w:t>
        </w:r>
      </w:hyperlink>
      <w:r w:rsidRPr="00C458FA">
        <w:rPr>
          <w:rStyle w:val="Fett"/>
          <w:rFonts w:cs="Arial"/>
          <w:color w:val="FF0000"/>
          <w:sz w:val="24"/>
          <w:szCs w:val="18"/>
        </w:rPr>
        <w:t> zum Download.</w:t>
      </w:r>
    </w:p>
    <w:p w14:paraId="1D3F784B" w14:textId="77777777" w:rsidR="00C458FA" w:rsidRPr="00802391" w:rsidRDefault="00C458FA" w:rsidP="00C36852">
      <w:pPr>
        <w:spacing w:line="360" w:lineRule="auto"/>
        <w:ind w:right="-704"/>
        <w:outlineLvl w:val="0"/>
        <w:rPr>
          <w:color w:val="000000"/>
          <w:sz w:val="20"/>
        </w:rPr>
      </w:pPr>
    </w:p>
    <w:p w14:paraId="4585DF36" w14:textId="08965865" w:rsidR="00C36852" w:rsidRDefault="00C36852" w:rsidP="00C36852">
      <w:pPr>
        <w:spacing w:line="360" w:lineRule="auto"/>
        <w:ind w:right="-704"/>
        <w:outlineLvl w:val="0"/>
        <w:rPr>
          <w:rFonts w:cs="Arial"/>
          <w:sz w:val="20"/>
        </w:rPr>
      </w:pPr>
      <w:bookmarkStart w:id="2" w:name="_Hlk3819609"/>
      <w:r>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4" w:history="1">
        <w:r>
          <w:rPr>
            <w:rStyle w:val="Hyperlink"/>
            <w:rFonts w:ascii="Arial" w:hAnsi="Arial" w:cs="Arial"/>
            <w:sz w:val="20"/>
          </w:rPr>
          <w:t>www.beumer.com</w:t>
        </w:r>
      </w:hyperlink>
      <w:r>
        <w:rPr>
          <w:rFonts w:cs="Arial"/>
          <w:sz w:val="20"/>
        </w:rPr>
        <w:t>.</w:t>
      </w:r>
      <w:bookmarkEnd w:id="2"/>
    </w:p>
    <w:sectPr w:rsidR="00C36852" w:rsidSect="0025583A">
      <w:headerReference w:type="default" r:id="rId15"/>
      <w:footerReference w:type="default" r:id="rId16"/>
      <w:headerReference w:type="first" r:id="rId17"/>
      <w:foot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3A5C6" w14:textId="77777777" w:rsidR="008E2900" w:rsidRDefault="008E2900" w:rsidP="0025583A">
      <w:r>
        <w:separator/>
      </w:r>
    </w:p>
  </w:endnote>
  <w:endnote w:type="continuationSeparator" w:id="0">
    <w:p w14:paraId="515FAA6E" w14:textId="77777777" w:rsidR="008E2900" w:rsidRDefault="008E2900" w:rsidP="0025583A">
      <w:r>
        <w:continuationSeparator/>
      </w:r>
    </w:p>
  </w:endnote>
  <w:endnote w:type="continuationNotice" w:id="1">
    <w:p w14:paraId="2C8B2891" w14:textId="77777777" w:rsidR="008E2900" w:rsidRDefault="008E2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43A1" w14:textId="77777777" w:rsidR="00967D0E" w:rsidRDefault="00967D0E" w:rsidP="00967D0E">
    <w:pPr>
      <w:rPr>
        <w:b/>
        <w:sz w:val="16"/>
        <w:szCs w:val="16"/>
      </w:rPr>
    </w:pPr>
    <w:bookmarkStart w:id="3" w:name="_Hlk3819565"/>
  </w:p>
  <w:p w14:paraId="208CF659" w14:textId="0025DBAE" w:rsidR="00967D0E" w:rsidRPr="004B242A" w:rsidRDefault="00967D0E" w:rsidP="00967D0E">
    <w:pPr>
      <w:rPr>
        <w:sz w:val="16"/>
        <w:szCs w:val="16"/>
      </w:rPr>
    </w:pPr>
    <w:r w:rsidRPr="004B242A">
      <w:rPr>
        <w:b/>
        <w:sz w:val="16"/>
        <w:szCs w:val="16"/>
      </w:rPr>
      <w:t>Pressekontakt</w:t>
    </w:r>
    <w:r w:rsidRPr="004B242A">
      <w:rPr>
        <w:b/>
        <w:color w:val="000000"/>
        <w:sz w:val="16"/>
        <w:szCs w:val="16"/>
      </w:rPr>
      <w:t xml:space="preserve"> </w:t>
    </w:r>
    <w:r w:rsidRPr="004B242A">
      <w:rPr>
        <w:b/>
        <w:sz w:val="16"/>
        <w:szCs w:val="16"/>
      </w:rPr>
      <w:t>BEUMER Group GmbH &amp; Co. KG</w:t>
    </w:r>
    <w:r w:rsidRPr="004B242A">
      <w:rPr>
        <w:b/>
        <w:sz w:val="16"/>
        <w:szCs w:val="16"/>
      </w:rPr>
      <w:br/>
      <w:t>Regina Schnathmann:</w:t>
    </w:r>
    <w:r w:rsidRPr="004B242A">
      <w:rPr>
        <w:sz w:val="16"/>
        <w:szCs w:val="16"/>
      </w:rPr>
      <w:t xml:space="preserve"> Tel. + </w:t>
    </w:r>
    <w:r w:rsidRPr="004B242A">
      <w:rPr>
        <w:color w:val="000000"/>
        <w:sz w:val="16"/>
        <w:szCs w:val="16"/>
      </w:rPr>
      <w:t xml:space="preserve">49 (0) </w:t>
    </w:r>
    <w:r w:rsidRPr="004B242A">
      <w:rPr>
        <w:sz w:val="16"/>
        <w:szCs w:val="16"/>
      </w:rPr>
      <w:t xml:space="preserve">2521 24 381, </w:t>
    </w:r>
    <w:hyperlink r:id="rId1" w:history="1">
      <w:r w:rsidRPr="004B242A">
        <w:rPr>
          <w:rStyle w:val="Hyperlink"/>
          <w:rFonts w:ascii="Arial" w:hAnsi="Arial" w:cs="Arial"/>
          <w:sz w:val="16"/>
          <w:szCs w:val="16"/>
        </w:rPr>
        <w:t>Regina.Schnathmann@beumer.com</w:t>
      </w:r>
    </w:hyperlink>
    <w:r w:rsidRPr="004B242A">
      <w:rPr>
        <w:rFonts w:cs="Arial"/>
        <w:sz w:val="16"/>
        <w:szCs w:val="16"/>
      </w:rPr>
      <w:t xml:space="preserve"> </w:t>
    </w:r>
    <w:r w:rsidRPr="004B242A">
      <w:rPr>
        <w:sz w:val="16"/>
        <w:szCs w:val="16"/>
      </w:rPr>
      <w:br/>
    </w:r>
    <w:r w:rsidRPr="004B242A">
      <w:rPr>
        <w:b/>
        <w:sz w:val="16"/>
        <w:szCs w:val="16"/>
      </w:rPr>
      <w:t>Verena Breuer:</w:t>
    </w:r>
    <w:r w:rsidRPr="004B242A">
      <w:rPr>
        <w:sz w:val="16"/>
        <w:szCs w:val="16"/>
      </w:rPr>
      <w:t xml:space="preserve"> </w:t>
    </w:r>
    <w:r w:rsidRPr="004B242A">
      <w:rPr>
        <w:color w:val="000000"/>
        <w:sz w:val="16"/>
        <w:szCs w:val="16"/>
      </w:rPr>
      <w:t xml:space="preserve">Tel. + 49 (0) </w:t>
    </w:r>
    <w:r w:rsidRPr="004B242A">
      <w:rPr>
        <w:sz w:val="16"/>
        <w:szCs w:val="16"/>
      </w:rPr>
      <w:t xml:space="preserve">2521 24 317, </w:t>
    </w:r>
    <w:hyperlink r:id="rId2" w:history="1">
      <w:r w:rsidRPr="004B242A">
        <w:rPr>
          <w:rStyle w:val="Hyperlink"/>
          <w:rFonts w:ascii="Arial" w:hAnsi="Arial" w:cs="Arial"/>
          <w:sz w:val="16"/>
          <w:szCs w:val="16"/>
        </w:rPr>
        <w:t>Verena.Breuer@beumer.com</w:t>
      </w:r>
    </w:hyperlink>
    <w:r w:rsidRPr="004B242A">
      <w:rPr>
        <w:rFonts w:cs="Arial"/>
        <w:sz w:val="16"/>
        <w:szCs w:val="16"/>
      </w:rPr>
      <w:t xml:space="preserve">  </w:t>
    </w:r>
    <w:hyperlink r:id="rId3" w:history="1">
      <w:r w:rsidRPr="004B242A">
        <w:rPr>
          <w:rStyle w:val="Hyperlink"/>
          <w:sz w:val="16"/>
          <w:szCs w:val="16"/>
        </w:rPr>
        <w:t>www.beumer.com</w:t>
      </w:r>
    </w:hyperlink>
    <w:r w:rsidRPr="004B242A">
      <w:rPr>
        <w:sz w:val="16"/>
        <w:szCs w:val="16"/>
      </w:rPr>
      <w:t xml:space="preserve">   </w:t>
    </w:r>
  </w:p>
  <w:p w14:paraId="5AD37D29" w14:textId="77777777" w:rsidR="00967D0E" w:rsidRPr="004B242A" w:rsidRDefault="00967D0E" w:rsidP="00967D0E">
    <w:pPr>
      <w:rPr>
        <w:sz w:val="16"/>
        <w:szCs w:val="16"/>
      </w:rPr>
    </w:pPr>
  </w:p>
  <w:p w14:paraId="7E757D02" w14:textId="77777777" w:rsidR="00967D0E" w:rsidRPr="004B242A" w:rsidRDefault="00967D0E" w:rsidP="00967D0E">
    <w:pPr>
      <w:rPr>
        <w:color w:val="000000"/>
        <w:sz w:val="16"/>
        <w:szCs w:val="16"/>
      </w:rPr>
    </w:pPr>
    <w:r w:rsidRPr="004B242A">
      <w:rPr>
        <w:b/>
        <w:sz w:val="16"/>
        <w:szCs w:val="16"/>
      </w:rPr>
      <w:t>Agentur</w:t>
    </w:r>
    <w:r w:rsidRPr="004B242A">
      <w:rPr>
        <w:b/>
        <w:sz w:val="16"/>
        <w:szCs w:val="16"/>
      </w:rPr>
      <w:br/>
    </w:r>
    <w:r w:rsidRPr="004B242A">
      <w:rPr>
        <w:color w:val="000000"/>
        <w:sz w:val="16"/>
        <w:szCs w:val="16"/>
      </w:rPr>
      <w:t>a1kommunikation Schweizer GmbH, Frau Kirsten Ludwig</w:t>
    </w:r>
    <w:r w:rsidRPr="004B242A">
      <w:rPr>
        <w:color w:val="000000"/>
        <w:sz w:val="16"/>
        <w:szCs w:val="16"/>
      </w:rPr>
      <w:br/>
      <w:t xml:space="preserve">Tel. + 49 (0) 711 9454161 20, </w:t>
    </w:r>
    <w:hyperlink r:id="rId4" w:history="1">
      <w:r w:rsidRPr="004B242A">
        <w:rPr>
          <w:rStyle w:val="Hyperlink"/>
          <w:rFonts w:ascii="Arial" w:hAnsi="Arial" w:cs="Arial"/>
          <w:sz w:val="16"/>
          <w:szCs w:val="16"/>
        </w:rPr>
        <w:t>klu@a1kommunikation.de</w:t>
      </w:r>
    </w:hyperlink>
    <w:r w:rsidRPr="004B242A">
      <w:rPr>
        <w:rFonts w:cs="Arial"/>
        <w:sz w:val="16"/>
        <w:szCs w:val="16"/>
      </w:rPr>
      <w:t xml:space="preserve"> </w:t>
    </w:r>
    <w:r w:rsidRPr="004B242A">
      <w:rPr>
        <w:color w:val="000000"/>
        <w:sz w:val="16"/>
        <w:szCs w:val="16"/>
      </w:rPr>
      <w:t xml:space="preserve"> </w:t>
    </w:r>
    <w:hyperlink r:id="rId5" w:history="1">
      <w:r w:rsidRPr="004B242A">
        <w:rPr>
          <w:rStyle w:val="Hyperlink"/>
          <w:sz w:val="16"/>
          <w:szCs w:val="16"/>
        </w:rPr>
        <w:t>www.a1kommunikation.de</w:t>
      </w:r>
    </w:hyperlink>
    <w:r w:rsidRPr="004B242A">
      <w:rPr>
        <w:color w:val="000000"/>
        <w:sz w:val="16"/>
        <w:szCs w:val="16"/>
      </w:rPr>
      <w:t xml:space="preserve"> </w:t>
    </w:r>
  </w:p>
  <w:p w14:paraId="7C49C43D" w14:textId="77777777" w:rsidR="00967D0E" w:rsidRPr="004B242A" w:rsidRDefault="00967D0E" w:rsidP="00967D0E">
    <w:pPr>
      <w:rPr>
        <w:b/>
        <w:color w:val="000000"/>
        <w:sz w:val="16"/>
        <w:szCs w:val="16"/>
      </w:rPr>
    </w:pPr>
  </w:p>
  <w:p w14:paraId="34FA4495" w14:textId="2ECEA2EB" w:rsidR="00967D0E" w:rsidRPr="00383723" w:rsidRDefault="00967D0E" w:rsidP="00967D0E">
    <w:pPr>
      <w:rPr>
        <w:sz w:val="16"/>
        <w:szCs w:val="16"/>
      </w:rPr>
    </w:pPr>
    <w:r w:rsidRPr="004B242A">
      <w:rPr>
        <w:b/>
        <w:color w:val="000000"/>
        <w:sz w:val="16"/>
        <w:szCs w:val="16"/>
      </w:rPr>
      <w:t>Abdruck frei – Belegexemplar erbeten</w:t>
    </w:r>
    <w:bookmarkEnd w:id="3"/>
    <w:r w:rsidRPr="004B242A">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sidR="004B242A">
      <w:rPr>
        <w:noProof/>
        <w:sz w:val="16"/>
        <w:szCs w:val="16"/>
      </w:rPr>
      <w:t>8</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sidR="004B242A">
      <w:rPr>
        <w:noProof/>
        <w:sz w:val="16"/>
        <w:szCs w:val="16"/>
      </w:rPr>
      <w:t>8</w:t>
    </w:r>
    <w:r>
      <w:fldChar w:fldCharType="end"/>
    </w:r>
  </w:p>
  <w:p w14:paraId="2422D099" w14:textId="07CEAF5D" w:rsidR="00E53B41" w:rsidRPr="00967D0E" w:rsidRDefault="00E53B41" w:rsidP="00967D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99869" w14:textId="09E92832" w:rsidR="00E53B41" w:rsidRPr="00C36852" w:rsidRDefault="00C36852" w:rsidP="00C36852">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C36852">
      <w:rPr>
        <w:noProof/>
        <w:sz w:val="16"/>
        <w:szCs w:val="16"/>
      </w:rPr>
      <w:instrText xml:space="preserve"> PAGE </w:instrText>
    </w:r>
    <w:r>
      <w:rPr>
        <w:sz w:val="16"/>
        <w:szCs w:val="16"/>
      </w:rPr>
      <w:fldChar w:fldCharType="separate"/>
    </w:r>
    <w:r w:rsidR="004B242A">
      <w:rPr>
        <w:noProof/>
        <w:sz w:val="16"/>
        <w:szCs w:val="16"/>
      </w:rPr>
      <w:t>1</w:t>
    </w:r>
    <w:r>
      <w:fldChar w:fldCharType="end"/>
    </w:r>
    <w:r>
      <w:rPr>
        <w:sz w:val="16"/>
        <w:szCs w:val="16"/>
      </w:rPr>
      <w:t>/</w:t>
    </w:r>
    <w:r>
      <w:rPr>
        <w:sz w:val="16"/>
        <w:szCs w:val="16"/>
      </w:rPr>
      <w:fldChar w:fldCharType="begin"/>
    </w:r>
    <w:r w:rsidRPr="00C36852">
      <w:rPr>
        <w:sz w:val="16"/>
        <w:szCs w:val="16"/>
      </w:rPr>
      <w:instrText xml:space="preserve"> NUMPAGES </w:instrText>
    </w:r>
    <w:r>
      <w:rPr>
        <w:sz w:val="16"/>
        <w:szCs w:val="16"/>
      </w:rPr>
      <w:fldChar w:fldCharType="separate"/>
    </w:r>
    <w:r w:rsidR="004B242A">
      <w:rPr>
        <w:noProof/>
        <w:sz w:val="16"/>
        <w:szCs w:val="16"/>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00AC" w14:textId="77777777" w:rsidR="008E2900" w:rsidRDefault="008E2900" w:rsidP="0025583A">
      <w:r>
        <w:separator/>
      </w:r>
    </w:p>
  </w:footnote>
  <w:footnote w:type="continuationSeparator" w:id="0">
    <w:p w14:paraId="2CFB0577" w14:textId="77777777" w:rsidR="008E2900" w:rsidRDefault="008E2900" w:rsidP="0025583A">
      <w:r>
        <w:continuationSeparator/>
      </w:r>
    </w:p>
  </w:footnote>
  <w:footnote w:type="continuationNotice" w:id="1">
    <w:p w14:paraId="5D315B2C" w14:textId="77777777" w:rsidR="008E2900" w:rsidRDefault="008E29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DCC5" w14:textId="77777777" w:rsidR="00E53B41" w:rsidRDefault="00A15BC9" w:rsidP="0025583A">
    <w:pPr>
      <w:ind w:left="6237"/>
      <w:rPr>
        <w:rFonts w:cs="Arial"/>
        <w:b/>
        <w:sz w:val="40"/>
        <w:szCs w:val="40"/>
      </w:rPr>
    </w:pPr>
    <w:r>
      <w:rPr>
        <w:noProof/>
      </w:rPr>
      <w:drawing>
        <wp:anchor distT="0" distB="0" distL="114300" distR="114300" simplePos="0" relativeHeight="251657216" behindDoc="0" locked="0" layoutInCell="1" allowOverlap="1" wp14:anchorId="606178FB" wp14:editId="034140EB">
          <wp:simplePos x="0" y="0"/>
          <wp:positionH relativeFrom="column">
            <wp:posOffset>3537585</wp:posOffset>
          </wp:positionH>
          <wp:positionV relativeFrom="paragraph">
            <wp:posOffset>208280</wp:posOffset>
          </wp:positionV>
          <wp:extent cx="2353945" cy="528955"/>
          <wp:effectExtent l="0" t="0" r="0" b="0"/>
          <wp:wrapNone/>
          <wp:docPr id="2" name="Grafik 7"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A4065" w14:textId="77777777" w:rsidR="00E53B41" w:rsidRDefault="00E53B41" w:rsidP="0025583A">
    <w:pPr>
      <w:ind w:left="6521"/>
      <w:rPr>
        <w:rFonts w:cs="Arial"/>
        <w:b/>
        <w:sz w:val="40"/>
        <w:szCs w:val="40"/>
      </w:rPr>
    </w:pPr>
  </w:p>
  <w:p w14:paraId="02051978" w14:textId="77777777" w:rsidR="00E53B41" w:rsidRPr="00DC130B" w:rsidRDefault="0071013C" w:rsidP="00A13611">
    <w:pPr>
      <w:rPr>
        <w:rFonts w:cs="Arial"/>
        <w:b/>
        <w:sz w:val="40"/>
        <w:szCs w:val="40"/>
      </w:rPr>
    </w:pPr>
    <w:r>
      <w:rPr>
        <w:rFonts w:cs="Arial"/>
        <w:b/>
        <w:bCs/>
        <w:sz w:val="40"/>
        <w:szCs w:val="40"/>
      </w:rPr>
      <w:t>Anwenderbericht</w:t>
    </w:r>
  </w:p>
  <w:p w14:paraId="18AEBB9B" w14:textId="77777777" w:rsidR="00E53B41" w:rsidRPr="003349BF" w:rsidRDefault="00E53B41" w:rsidP="0025583A">
    <w:pPr>
      <w:pStyle w:val="Kopfzeile"/>
    </w:pPr>
  </w:p>
  <w:p w14:paraId="025FE6D5" w14:textId="77777777" w:rsidR="00E53B41" w:rsidRPr="00824466" w:rsidRDefault="00E53B41" w:rsidP="0025583A">
    <w:pPr>
      <w:pStyle w:val="Kopfzeile"/>
    </w:pPr>
  </w:p>
  <w:p w14:paraId="3427225E" w14:textId="77777777" w:rsidR="00E53B41" w:rsidRPr="00824466" w:rsidRDefault="00E53B41" w:rsidP="002558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7152" w14:textId="77777777" w:rsidR="00E53B41" w:rsidRDefault="00A15BC9" w:rsidP="0025583A">
    <w:pPr>
      <w:ind w:left="6237"/>
      <w:rPr>
        <w:rFonts w:cs="Arial"/>
        <w:b/>
        <w:sz w:val="40"/>
        <w:szCs w:val="40"/>
      </w:rPr>
    </w:pPr>
    <w:r>
      <w:rPr>
        <w:noProof/>
      </w:rPr>
      <w:drawing>
        <wp:anchor distT="0" distB="0" distL="114300" distR="114300" simplePos="0" relativeHeight="251658240" behindDoc="0" locked="0" layoutInCell="1" allowOverlap="1" wp14:anchorId="257F5B98" wp14:editId="155052F1">
          <wp:simplePos x="0" y="0"/>
          <wp:positionH relativeFrom="column">
            <wp:posOffset>3537585</wp:posOffset>
          </wp:positionH>
          <wp:positionV relativeFrom="paragraph">
            <wp:posOffset>208280</wp:posOffset>
          </wp:positionV>
          <wp:extent cx="2353945" cy="528955"/>
          <wp:effectExtent l="0" t="0" r="0" b="0"/>
          <wp:wrapNone/>
          <wp:docPr id="1" name="Grafik 8"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17D3" w14:textId="77777777" w:rsidR="00E53B41" w:rsidRDefault="00E53B41" w:rsidP="0025583A">
    <w:pPr>
      <w:ind w:left="6521"/>
      <w:rPr>
        <w:rFonts w:cs="Arial"/>
        <w:b/>
        <w:sz w:val="40"/>
        <w:szCs w:val="40"/>
      </w:rPr>
    </w:pPr>
  </w:p>
  <w:p w14:paraId="6FAEECF7" w14:textId="77777777" w:rsidR="00E53B41" w:rsidRPr="00DC130B" w:rsidRDefault="002E54C3" w:rsidP="00A13611">
    <w:pPr>
      <w:rPr>
        <w:rFonts w:cs="Arial"/>
        <w:b/>
        <w:sz w:val="40"/>
        <w:szCs w:val="40"/>
      </w:rPr>
    </w:pPr>
    <w:r>
      <w:rPr>
        <w:rFonts w:cs="Arial"/>
        <w:b/>
        <w:bCs/>
        <w:sz w:val="40"/>
        <w:szCs w:val="40"/>
      </w:rPr>
      <w:t>Anwenderbericht</w:t>
    </w:r>
  </w:p>
  <w:p w14:paraId="24C5AE7A" w14:textId="77777777" w:rsidR="00E53B41" w:rsidRPr="003349BF" w:rsidRDefault="00E53B41" w:rsidP="0025583A">
    <w:pPr>
      <w:pStyle w:val="Kopfzeile"/>
    </w:pPr>
  </w:p>
  <w:p w14:paraId="4EC343C7" w14:textId="77777777" w:rsidR="00E53B41" w:rsidRPr="00824466" w:rsidRDefault="00E53B41" w:rsidP="0025583A">
    <w:pPr>
      <w:pStyle w:val="Kopfzeile"/>
    </w:pPr>
  </w:p>
  <w:p w14:paraId="340C11BE" w14:textId="77777777" w:rsidR="00E53B41" w:rsidRPr="00824466" w:rsidRDefault="00E53B41" w:rsidP="002558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12"/>
    <w:rsid w:val="00000DC3"/>
    <w:rsid w:val="00001EC6"/>
    <w:rsid w:val="00006743"/>
    <w:rsid w:val="000150A6"/>
    <w:rsid w:val="0001597F"/>
    <w:rsid w:val="00023825"/>
    <w:rsid w:val="00023A77"/>
    <w:rsid w:val="000248C3"/>
    <w:rsid w:val="000279EA"/>
    <w:rsid w:val="00030019"/>
    <w:rsid w:val="00032502"/>
    <w:rsid w:val="00035FA2"/>
    <w:rsid w:val="000365C1"/>
    <w:rsid w:val="0004293A"/>
    <w:rsid w:val="000429FF"/>
    <w:rsid w:val="0004393B"/>
    <w:rsid w:val="00043E6C"/>
    <w:rsid w:val="0004439C"/>
    <w:rsid w:val="000450F5"/>
    <w:rsid w:val="00046C42"/>
    <w:rsid w:val="0005122E"/>
    <w:rsid w:val="00056844"/>
    <w:rsid w:val="00062C6C"/>
    <w:rsid w:val="00063DC0"/>
    <w:rsid w:val="00064308"/>
    <w:rsid w:val="00073E2F"/>
    <w:rsid w:val="00074669"/>
    <w:rsid w:val="0007660F"/>
    <w:rsid w:val="00077A46"/>
    <w:rsid w:val="00081581"/>
    <w:rsid w:val="00083866"/>
    <w:rsid w:val="00084909"/>
    <w:rsid w:val="00085325"/>
    <w:rsid w:val="0008539D"/>
    <w:rsid w:val="00086704"/>
    <w:rsid w:val="00091D2C"/>
    <w:rsid w:val="0009563D"/>
    <w:rsid w:val="00095C43"/>
    <w:rsid w:val="000974A2"/>
    <w:rsid w:val="000A188D"/>
    <w:rsid w:val="000A290A"/>
    <w:rsid w:val="000A4182"/>
    <w:rsid w:val="000A6407"/>
    <w:rsid w:val="000B60B7"/>
    <w:rsid w:val="000C29E2"/>
    <w:rsid w:val="000C7712"/>
    <w:rsid w:val="000D387E"/>
    <w:rsid w:val="000E0F17"/>
    <w:rsid w:val="000E1E39"/>
    <w:rsid w:val="000E6C9C"/>
    <w:rsid w:val="000F416F"/>
    <w:rsid w:val="000F4AC4"/>
    <w:rsid w:val="000F6045"/>
    <w:rsid w:val="001011DB"/>
    <w:rsid w:val="00102E59"/>
    <w:rsid w:val="001132BA"/>
    <w:rsid w:val="00114A35"/>
    <w:rsid w:val="00115A09"/>
    <w:rsid w:val="001168C8"/>
    <w:rsid w:val="00117A3E"/>
    <w:rsid w:val="00117E81"/>
    <w:rsid w:val="0012473E"/>
    <w:rsid w:val="00125BC9"/>
    <w:rsid w:val="00130866"/>
    <w:rsid w:val="00132EE6"/>
    <w:rsid w:val="001419D0"/>
    <w:rsid w:val="00144189"/>
    <w:rsid w:val="00145C6A"/>
    <w:rsid w:val="001517F8"/>
    <w:rsid w:val="00152E85"/>
    <w:rsid w:val="001535E5"/>
    <w:rsid w:val="00153CB8"/>
    <w:rsid w:val="0015551B"/>
    <w:rsid w:val="00160F2C"/>
    <w:rsid w:val="001617DC"/>
    <w:rsid w:val="00164771"/>
    <w:rsid w:val="001652B1"/>
    <w:rsid w:val="00170E99"/>
    <w:rsid w:val="00171789"/>
    <w:rsid w:val="00181006"/>
    <w:rsid w:val="001847EB"/>
    <w:rsid w:val="001867B0"/>
    <w:rsid w:val="0019127F"/>
    <w:rsid w:val="00191C4A"/>
    <w:rsid w:val="00192E23"/>
    <w:rsid w:val="00195501"/>
    <w:rsid w:val="00195FB1"/>
    <w:rsid w:val="001A3247"/>
    <w:rsid w:val="001A4ED4"/>
    <w:rsid w:val="001A723F"/>
    <w:rsid w:val="001B02CA"/>
    <w:rsid w:val="001C1893"/>
    <w:rsid w:val="001C6538"/>
    <w:rsid w:val="001D0130"/>
    <w:rsid w:val="001D6A16"/>
    <w:rsid w:val="001E3A96"/>
    <w:rsid w:val="001E4CDD"/>
    <w:rsid w:val="001E53F3"/>
    <w:rsid w:val="001E5F2B"/>
    <w:rsid w:val="001E6A79"/>
    <w:rsid w:val="001F2926"/>
    <w:rsid w:val="001F63B2"/>
    <w:rsid w:val="00201196"/>
    <w:rsid w:val="002102A9"/>
    <w:rsid w:val="00213BE0"/>
    <w:rsid w:val="00220C2C"/>
    <w:rsid w:val="0022229A"/>
    <w:rsid w:val="00223EEC"/>
    <w:rsid w:val="002246CD"/>
    <w:rsid w:val="002309A7"/>
    <w:rsid w:val="0023192D"/>
    <w:rsid w:val="00234620"/>
    <w:rsid w:val="00235C97"/>
    <w:rsid w:val="00237F87"/>
    <w:rsid w:val="00240FBF"/>
    <w:rsid w:val="00242417"/>
    <w:rsid w:val="00243023"/>
    <w:rsid w:val="00247069"/>
    <w:rsid w:val="00250058"/>
    <w:rsid w:val="002506AC"/>
    <w:rsid w:val="00251D30"/>
    <w:rsid w:val="00254EDC"/>
    <w:rsid w:val="0025583A"/>
    <w:rsid w:val="002577C0"/>
    <w:rsid w:val="0025799E"/>
    <w:rsid w:val="00260A74"/>
    <w:rsid w:val="002629A5"/>
    <w:rsid w:val="00264D67"/>
    <w:rsid w:val="002700D1"/>
    <w:rsid w:val="002750BF"/>
    <w:rsid w:val="0027641C"/>
    <w:rsid w:val="00280033"/>
    <w:rsid w:val="002842BF"/>
    <w:rsid w:val="002909A0"/>
    <w:rsid w:val="00291A3E"/>
    <w:rsid w:val="002928CF"/>
    <w:rsid w:val="00293E7B"/>
    <w:rsid w:val="00294A22"/>
    <w:rsid w:val="00297B0A"/>
    <w:rsid w:val="002A09C3"/>
    <w:rsid w:val="002A4669"/>
    <w:rsid w:val="002A48B1"/>
    <w:rsid w:val="002A4F6D"/>
    <w:rsid w:val="002A7919"/>
    <w:rsid w:val="002A7DB0"/>
    <w:rsid w:val="002B0E92"/>
    <w:rsid w:val="002B5C99"/>
    <w:rsid w:val="002C0DEB"/>
    <w:rsid w:val="002C7CF4"/>
    <w:rsid w:val="002D484F"/>
    <w:rsid w:val="002D501D"/>
    <w:rsid w:val="002D62EC"/>
    <w:rsid w:val="002E4BB0"/>
    <w:rsid w:val="002E54C3"/>
    <w:rsid w:val="002F6EFF"/>
    <w:rsid w:val="00301C9F"/>
    <w:rsid w:val="0031157A"/>
    <w:rsid w:val="00312A2D"/>
    <w:rsid w:val="00320693"/>
    <w:rsid w:val="00322704"/>
    <w:rsid w:val="003254F6"/>
    <w:rsid w:val="00325FA4"/>
    <w:rsid w:val="00330DA5"/>
    <w:rsid w:val="003335A0"/>
    <w:rsid w:val="00334DDE"/>
    <w:rsid w:val="0033618D"/>
    <w:rsid w:val="003362A7"/>
    <w:rsid w:val="00337356"/>
    <w:rsid w:val="003403A5"/>
    <w:rsid w:val="0034126D"/>
    <w:rsid w:val="00341440"/>
    <w:rsid w:val="00342F16"/>
    <w:rsid w:val="00343C6C"/>
    <w:rsid w:val="0034455B"/>
    <w:rsid w:val="00345E52"/>
    <w:rsid w:val="00345F6F"/>
    <w:rsid w:val="00347A74"/>
    <w:rsid w:val="00347CFF"/>
    <w:rsid w:val="00350710"/>
    <w:rsid w:val="00360E3E"/>
    <w:rsid w:val="0036178B"/>
    <w:rsid w:val="0036231C"/>
    <w:rsid w:val="003632A5"/>
    <w:rsid w:val="00366FC1"/>
    <w:rsid w:val="0037163D"/>
    <w:rsid w:val="00372EB3"/>
    <w:rsid w:val="00374AD2"/>
    <w:rsid w:val="00381F75"/>
    <w:rsid w:val="00382AB1"/>
    <w:rsid w:val="003878DF"/>
    <w:rsid w:val="003878E8"/>
    <w:rsid w:val="003919B7"/>
    <w:rsid w:val="00393E54"/>
    <w:rsid w:val="00397583"/>
    <w:rsid w:val="003A0DD3"/>
    <w:rsid w:val="003A1A18"/>
    <w:rsid w:val="003A73C7"/>
    <w:rsid w:val="003B239E"/>
    <w:rsid w:val="003B268E"/>
    <w:rsid w:val="003B2964"/>
    <w:rsid w:val="003B578C"/>
    <w:rsid w:val="003B761D"/>
    <w:rsid w:val="003C33AD"/>
    <w:rsid w:val="003C3583"/>
    <w:rsid w:val="003C3AB3"/>
    <w:rsid w:val="003D3BBC"/>
    <w:rsid w:val="003D51D7"/>
    <w:rsid w:val="003D5CA0"/>
    <w:rsid w:val="003D777E"/>
    <w:rsid w:val="003E0A14"/>
    <w:rsid w:val="003E0C7C"/>
    <w:rsid w:val="003E150F"/>
    <w:rsid w:val="003E5B2F"/>
    <w:rsid w:val="003E6358"/>
    <w:rsid w:val="003F13DB"/>
    <w:rsid w:val="003F3870"/>
    <w:rsid w:val="003F58F6"/>
    <w:rsid w:val="003F624C"/>
    <w:rsid w:val="003F746B"/>
    <w:rsid w:val="00401E32"/>
    <w:rsid w:val="0040638D"/>
    <w:rsid w:val="00410C53"/>
    <w:rsid w:val="00416124"/>
    <w:rsid w:val="00416BD5"/>
    <w:rsid w:val="004207B7"/>
    <w:rsid w:val="00421247"/>
    <w:rsid w:val="00426386"/>
    <w:rsid w:val="00426609"/>
    <w:rsid w:val="00427E0D"/>
    <w:rsid w:val="00431704"/>
    <w:rsid w:val="00441253"/>
    <w:rsid w:val="00463EEB"/>
    <w:rsid w:val="00465D5C"/>
    <w:rsid w:val="00466B91"/>
    <w:rsid w:val="00467BFC"/>
    <w:rsid w:val="004731FA"/>
    <w:rsid w:val="00473666"/>
    <w:rsid w:val="00474F03"/>
    <w:rsid w:val="00475111"/>
    <w:rsid w:val="0047747E"/>
    <w:rsid w:val="00484F02"/>
    <w:rsid w:val="00487146"/>
    <w:rsid w:val="00490217"/>
    <w:rsid w:val="004927CA"/>
    <w:rsid w:val="0049373B"/>
    <w:rsid w:val="0049710A"/>
    <w:rsid w:val="00497C59"/>
    <w:rsid w:val="004A09B5"/>
    <w:rsid w:val="004A380A"/>
    <w:rsid w:val="004B242A"/>
    <w:rsid w:val="004B2740"/>
    <w:rsid w:val="004B2A9B"/>
    <w:rsid w:val="004B3378"/>
    <w:rsid w:val="004B360F"/>
    <w:rsid w:val="004B5112"/>
    <w:rsid w:val="004B7088"/>
    <w:rsid w:val="004C0212"/>
    <w:rsid w:val="004C0D5A"/>
    <w:rsid w:val="004C1FE6"/>
    <w:rsid w:val="004C3B8F"/>
    <w:rsid w:val="004C5598"/>
    <w:rsid w:val="004C6D42"/>
    <w:rsid w:val="004D1303"/>
    <w:rsid w:val="004D2C8C"/>
    <w:rsid w:val="004D7039"/>
    <w:rsid w:val="004E031C"/>
    <w:rsid w:val="004E0AEC"/>
    <w:rsid w:val="004E130B"/>
    <w:rsid w:val="004F01EB"/>
    <w:rsid w:val="004F0BE7"/>
    <w:rsid w:val="004F1527"/>
    <w:rsid w:val="004F1A9A"/>
    <w:rsid w:val="004F33E3"/>
    <w:rsid w:val="004F3D44"/>
    <w:rsid w:val="004F7E77"/>
    <w:rsid w:val="00505591"/>
    <w:rsid w:val="00511BC8"/>
    <w:rsid w:val="00511DFD"/>
    <w:rsid w:val="00514430"/>
    <w:rsid w:val="00520235"/>
    <w:rsid w:val="00522AED"/>
    <w:rsid w:val="00523150"/>
    <w:rsid w:val="00523722"/>
    <w:rsid w:val="00525880"/>
    <w:rsid w:val="00525C11"/>
    <w:rsid w:val="00527D67"/>
    <w:rsid w:val="005338A9"/>
    <w:rsid w:val="005339A8"/>
    <w:rsid w:val="00535401"/>
    <w:rsid w:val="00536500"/>
    <w:rsid w:val="0053741C"/>
    <w:rsid w:val="00537493"/>
    <w:rsid w:val="00540EFC"/>
    <w:rsid w:val="00541BC4"/>
    <w:rsid w:val="005453AF"/>
    <w:rsid w:val="00546305"/>
    <w:rsid w:val="00546CE2"/>
    <w:rsid w:val="0055017A"/>
    <w:rsid w:val="0055485D"/>
    <w:rsid w:val="00554913"/>
    <w:rsid w:val="0055739D"/>
    <w:rsid w:val="00560113"/>
    <w:rsid w:val="005646F1"/>
    <w:rsid w:val="00564F18"/>
    <w:rsid w:val="00565A38"/>
    <w:rsid w:val="005702E6"/>
    <w:rsid w:val="00572BD5"/>
    <w:rsid w:val="00572F23"/>
    <w:rsid w:val="005741B6"/>
    <w:rsid w:val="00574B57"/>
    <w:rsid w:val="00583BA9"/>
    <w:rsid w:val="00585139"/>
    <w:rsid w:val="00587BAF"/>
    <w:rsid w:val="005903B2"/>
    <w:rsid w:val="00594B41"/>
    <w:rsid w:val="00595082"/>
    <w:rsid w:val="005A0EB0"/>
    <w:rsid w:val="005A1D51"/>
    <w:rsid w:val="005A2545"/>
    <w:rsid w:val="005A3D5E"/>
    <w:rsid w:val="005A45DA"/>
    <w:rsid w:val="005A4F04"/>
    <w:rsid w:val="005A4FBB"/>
    <w:rsid w:val="005A5D00"/>
    <w:rsid w:val="005A6141"/>
    <w:rsid w:val="005A62E6"/>
    <w:rsid w:val="005A738E"/>
    <w:rsid w:val="005B1640"/>
    <w:rsid w:val="005B1750"/>
    <w:rsid w:val="005B388D"/>
    <w:rsid w:val="005B66A6"/>
    <w:rsid w:val="005C2559"/>
    <w:rsid w:val="005C61B0"/>
    <w:rsid w:val="005C686A"/>
    <w:rsid w:val="005E03EA"/>
    <w:rsid w:val="005E077F"/>
    <w:rsid w:val="005E0A97"/>
    <w:rsid w:val="005E2C4F"/>
    <w:rsid w:val="005E305F"/>
    <w:rsid w:val="005F0C69"/>
    <w:rsid w:val="005F1B2F"/>
    <w:rsid w:val="005F2439"/>
    <w:rsid w:val="005F4582"/>
    <w:rsid w:val="005F464E"/>
    <w:rsid w:val="00600E6E"/>
    <w:rsid w:val="00611EF6"/>
    <w:rsid w:val="00612417"/>
    <w:rsid w:val="0061375A"/>
    <w:rsid w:val="006140AB"/>
    <w:rsid w:val="00615EF0"/>
    <w:rsid w:val="00621688"/>
    <w:rsid w:val="006275D1"/>
    <w:rsid w:val="00630284"/>
    <w:rsid w:val="00632B43"/>
    <w:rsid w:val="00633608"/>
    <w:rsid w:val="00637973"/>
    <w:rsid w:val="00640BB8"/>
    <w:rsid w:val="00642F10"/>
    <w:rsid w:val="00643DE3"/>
    <w:rsid w:val="00643F3B"/>
    <w:rsid w:val="00650BDB"/>
    <w:rsid w:val="00650E0E"/>
    <w:rsid w:val="0065355E"/>
    <w:rsid w:val="00661404"/>
    <w:rsid w:val="00670380"/>
    <w:rsid w:val="00674F9A"/>
    <w:rsid w:val="00675173"/>
    <w:rsid w:val="00676186"/>
    <w:rsid w:val="006773C0"/>
    <w:rsid w:val="006804E9"/>
    <w:rsid w:val="00681408"/>
    <w:rsid w:val="00681860"/>
    <w:rsid w:val="006930AB"/>
    <w:rsid w:val="006946CC"/>
    <w:rsid w:val="006950E5"/>
    <w:rsid w:val="0069606E"/>
    <w:rsid w:val="006A396A"/>
    <w:rsid w:val="006A6FC4"/>
    <w:rsid w:val="006B3677"/>
    <w:rsid w:val="006B4874"/>
    <w:rsid w:val="006B535D"/>
    <w:rsid w:val="006C2B94"/>
    <w:rsid w:val="006C34D0"/>
    <w:rsid w:val="006C36D2"/>
    <w:rsid w:val="006C3E9A"/>
    <w:rsid w:val="006C40D0"/>
    <w:rsid w:val="006C413E"/>
    <w:rsid w:val="006C6B06"/>
    <w:rsid w:val="006C74DE"/>
    <w:rsid w:val="006D04F2"/>
    <w:rsid w:val="006D104D"/>
    <w:rsid w:val="006D2888"/>
    <w:rsid w:val="006D5E45"/>
    <w:rsid w:val="006E0ABA"/>
    <w:rsid w:val="006E2E86"/>
    <w:rsid w:val="006E4142"/>
    <w:rsid w:val="006E42F0"/>
    <w:rsid w:val="006E5A7C"/>
    <w:rsid w:val="006F0AA2"/>
    <w:rsid w:val="0070147D"/>
    <w:rsid w:val="007071A2"/>
    <w:rsid w:val="007100CF"/>
    <w:rsid w:val="0071013C"/>
    <w:rsid w:val="00713493"/>
    <w:rsid w:val="00714D23"/>
    <w:rsid w:val="00722059"/>
    <w:rsid w:val="00724387"/>
    <w:rsid w:val="007246F9"/>
    <w:rsid w:val="00734062"/>
    <w:rsid w:val="00735311"/>
    <w:rsid w:val="0073742F"/>
    <w:rsid w:val="007425AE"/>
    <w:rsid w:val="00743626"/>
    <w:rsid w:val="00746D4F"/>
    <w:rsid w:val="00747777"/>
    <w:rsid w:val="00751A4C"/>
    <w:rsid w:val="00751A81"/>
    <w:rsid w:val="007523B5"/>
    <w:rsid w:val="00752466"/>
    <w:rsid w:val="00752F85"/>
    <w:rsid w:val="00757BD3"/>
    <w:rsid w:val="007667CF"/>
    <w:rsid w:val="00772130"/>
    <w:rsid w:val="00772ABD"/>
    <w:rsid w:val="00774D6E"/>
    <w:rsid w:val="00775529"/>
    <w:rsid w:val="00777F97"/>
    <w:rsid w:val="00781CB3"/>
    <w:rsid w:val="007917B8"/>
    <w:rsid w:val="00792F4C"/>
    <w:rsid w:val="007B286F"/>
    <w:rsid w:val="007B4DCA"/>
    <w:rsid w:val="007B74C6"/>
    <w:rsid w:val="007C149B"/>
    <w:rsid w:val="007C1CA3"/>
    <w:rsid w:val="007C1DA3"/>
    <w:rsid w:val="007C4713"/>
    <w:rsid w:val="007C67F5"/>
    <w:rsid w:val="007C71D9"/>
    <w:rsid w:val="007C7DD4"/>
    <w:rsid w:val="007D39E3"/>
    <w:rsid w:val="007D4004"/>
    <w:rsid w:val="007D75E3"/>
    <w:rsid w:val="007E455A"/>
    <w:rsid w:val="007E4CBD"/>
    <w:rsid w:val="007E7B00"/>
    <w:rsid w:val="007E7B8B"/>
    <w:rsid w:val="007F37CF"/>
    <w:rsid w:val="0080004B"/>
    <w:rsid w:val="00803018"/>
    <w:rsid w:val="008044B6"/>
    <w:rsid w:val="00805C7F"/>
    <w:rsid w:val="00810079"/>
    <w:rsid w:val="0081098E"/>
    <w:rsid w:val="00813C3E"/>
    <w:rsid w:val="00813D99"/>
    <w:rsid w:val="0081721E"/>
    <w:rsid w:val="00817B36"/>
    <w:rsid w:val="008227F7"/>
    <w:rsid w:val="008233E9"/>
    <w:rsid w:val="008255A4"/>
    <w:rsid w:val="00825FF4"/>
    <w:rsid w:val="00830EDE"/>
    <w:rsid w:val="008327E4"/>
    <w:rsid w:val="0083437E"/>
    <w:rsid w:val="00834ABE"/>
    <w:rsid w:val="008354A1"/>
    <w:rsid w:val="008372C5"/>
    <w:rsid w:val="008407F6"/>
    <w:rsid w:val="0085044D"/>
    <w:rsid w:val="00850F10"/>
    <w:rsid w:val="00851F9D"/>
    <w:rsid w:val="0085353A"/>
    <w:rsid w:val="00853AFC"/>
    <w:rsid w:val="008540B1"/>
    <w:rsid w:val="008614C4"/>
    <w:rsid w:val="0086671A"/>
    <w:rsid w:val="008708F8"/>
    <w:rsid w:val="00870F3A"/>
    <w:rsid w:val="00872F24"/>
    <w:rsid w:val="0087480D"/>
    <w:rsid w:val="00876FD4"/>
    <w:rsid w:val="008825EA"/>
    <w:rsid w:val="008914AA"/>
    <w:rsid w:val="008942FC"/>
    <w:rsid w:val="00897755"/>
    <w:rsid w:val="008A1DDA"/>
    <w:rsid w:val="008A30AE"/>
    <w:rsid w:val="008A3AE4"/>
    <w:rsid w:val="008A4ABE"/>
    <w:rsid w:val="008A5707"/>
    <w:rsid w:val="008A59F0"/>
    <w:rsid w:val="008A67A1"/>
    <w:rsid w:val="008A698C"/>
    <w:rsid w:val="008A70B2"/>
    <w:rsid w:val="008B2AD4"/>
    <w:rsid w:val="008B321F"/>
    <w:rsid w:val="008B4E5B"/>
    <w:rsid w:val="008C1742"/>
    <w:rsid w:val="008C6C66"/>
    <w:rsid w:val="008D6B93"/>
    <w:rsid w:val="008E2900"/>
    <w:rsid w:val="008E5049"/>
    <w:rsid w:val="008E5289"/>
    <w:rsid w:val="008E56CB"/>
    <w:rsid w:val="008E6892"/>
    <w:rsid w:val="008F1D19"/>
    <w:rsid w:val="008F4A1A"/>
    <w:rsid w:val="00900FF2"/>
    <w:rsid w:val="00902379"/>
    <w:rsid w:val="0090592F"/>
    <w:rsid w:val="0090650D"/>
    <w:rsid w:val="0091220C"/>
    <w:rsid w:val="00912EAC"/>
    <w:rsid w:val="00913877"/>
    <w:rsid w:val="00915DDD"/>
    <w:rsid w:val="00916211"/>
    <w:rsid w:val="00917FA3"/>
    <w:rsid w:val="00921978"/>
    <w:rsid w:val="00924118"/>
    <w:rsid w:val="00927AD9"/>
    <w:rsid w:val="00931C9C"/>
    <w:rsid w:val="009349C2"/>
    <w:rsid w:val="00935059"/>
    <w:rsid w:val="0094054F"/>
    <w:rsid w:val="00941433"/>
    <w:rsid w:val="009419ED"/>
    <w:rsid w:val="0094496C"/>
    <w:rsid w:val="00945386"/>
    <w:rsid w:val="00951366"/>
    <w:rsid w:val="00951610"/>
    <w:rsid w:val="009517CE"/>
    <w:rsid w:val="00957C23"/>
    <w:rsid w:val="00966763"/>
    <w:rsid w:val="00967D0E"/>
    <w:rsid w:val="0097285E"/>
    <w:rsid w:val="009760F2"/>
    <w:rsid w:val="00977F9F"/>
    <w:rsid w:val="00980E8E"/>
    <w:rsid w:val="0098241A"/>
    <w:rsid w:val="009824D8"/>
    <w:rsid w:val="0098449B"/>
    <w:rsid w:val="009844EF"/>
    <w:rsid w:val="009858F9"/>
    <w:rsid w:val="00985E0E"/>
    <w:rsid w:val="00986110"/>
    <w:rsid w:val="00992CA1"/>
    <w:rsid w:val="00996F41"/>
    <w:rsid w:val="0099731C"/>
    <w:rsid w:val="00997F68"/>
    <w:rsid w:val="009A177D"/>
    <w:rsid w:val="009A64FF"/>
    <w:rsid w:val="009A6E23"/>
    <w:rsid w:val="009B4B9D"/>
    <w:rsid w:val="009B4CBB"/>
    <w:rsid w:val="009B585E"/>
    <w:rsid w:val="009B699B"/>
    <w:rsid w:val="009C368F"/>
    <w:rsid w:val="009C4221"/>
    <w:rsid w:val="009C4227"/>
    <w:rsid w:val="009D0521"/>
    <w:rsid w:val="009D199C"/>
    <w:rsid w:val="009D2A45"/>
    <w:rsid w:val="009D4BA8"/>
    <w:rsid w:val="009D5C06"/>
    <w:rsid w:val="009D719A"/>
    <w:rsid w:val="009E1F16"/>
    <w:rsid w:val="009E4086"/>
    <w:rsid w:val="009E476F"/>
    <w:rsid w:val="009E6A73"/>
    <w:rsid w:val="009F0903"/>
    <w:rsid w:val="009F5F6F"/>
    <w:rsid w:val="00A0000A"/>
    <w:rsid w:val="00A01ADB"/>
    <w:rsid w:val="00A04C76"/>
    <w:rsid w:val="00A074A5"/>
    <w:rsid w:val="00A13611"/>
    <w:rsid w:val="00A15BC9"/>
    <w:rsid w:val="00A21E92"/>
    <w:rsid w:val="00A23706"/>
    <w:rsid w:val="00A239CE"/>
    <w:rsid w:val="00A33806"/>
    <w:rsid w:val="00A42210"/>
    <w:rsid w:val="00A4438B"/>
    <w:rsid w:val="00A457A3"/>
    <w:rsid w:val="00A46768"/>
    <w:rsid w:val="00A52125"/>
    <w:rsid w:val="00A5235D"/>
    <w:rsid w:val="00A53EA0"/>
    <w:rsid w:val="00A53F0A"/>
    <w:rsid w:val="00A57AA3"/>
    <w:rsid w:val="00A724F3"/>
    <w:rsid w:val="00A72EE8"/>
    <w:rsid w:val="00A74862"/>
    <w:rsid w:val="00A76E11"/>
    <w:rsid w:val="00A90C52"/>
    <w:rsid w:val="00A932A3"/>
    <w:rsid w:val="00AA0F84"/>
    <w:rsid w:val="00AA22F2"/>
    <w:rsid w:val="00AA489E"/>
    <w:rsid w:val="00AA5771"/>
    <w:rsid w:val="00AB2669"/>
    <w:rsid w:val="00AB3DE3"/>
    <w:rsid w:val="00AB7FEC"/>
    <w:rsid w:val="00AC172F"/>
    <w:rsid w:val="00AC4D6E"/>
    <w:rsid w:val="00AC63A8"/>
    <w:rsid w:val="00AD0C70"/>
    <w:rsid w:val="00AD0FB2"/>
    <w:rsid w:val="00AD33EA"/>
    <w:rsid w:val="00AE2E0C"/>
    <w:rsid w:val="00AE3682"/>
    <w:rsid w:val="00AE4914"/>
    <w:rsid w:val="00AF3455"/>
    <w:rsid w:val="00AF4EAB"/>
    <w:rsid w:val="00AF72E6"/>
    <w:rsid w:val="00B003BF"/>
    <w:rsid w:val="00B00B6C"/>
    <w:rsid w:val="00B052CB"/>
    <w:rsid w:val="00B07B62"/>
    <w:rsid w:val="00B14071"/>
    <w:rsid w:val="00B224BB"/>
    <w:rsid w:val="00B22EE6"/>
    <w:rsid w:val="00B231FC"/>
    <w:rsid w:val="00B23B5B"/>
    <w:rsid w:val="00B308F0"/>
    <w:rsid w:val="00B3233A"/>
    <w:rsid w:val="00B35E7F"/>
    <w:rsid w:val="00B42FD9"/>
    <w:rsid w:val="00B455EA"/>
    <w:rsid w:val="00B5173C"/>
    <w:rsid w:val="00B533FF"/>
    <w:rsid w:val="00B534A9"/>
    <w:rsid w:val="00B55B44"/>
    <w:rsid w:val="00B5631E"/>
    <w:rsid w:val="00B56CA5"/>
    <w:rsid w:val="00B61142"/>
    <w:rsid w:val="00B62D52"/>
    <w:rsid w:val="00B65008"/>
    <w:rsid w:val="00B65759"/>
    <w:rsid w:val="00B678FC"/>
    <w:rsid w:val="00B70C03"/>
    <w:rsid w:val="00B740BA"/>
    <w:rsid w:val="00B74311"/>
    <w:rsid w:val="00B8014A"/>
    <w:rsid w:val="00B81C10"/>
    <w:rsid w:val="00B86C11"/>
    <w:rsid w:val="00B910F6"/>
    <w:rsid w:val="00B914FB"/>
    <w:rsid w:val="00B96A87"/>
    <w:rsid w:val="00B96ECD"/>
    <w:rsid w:val="00BA0FFC"/>
    <w:rsid w:val="00BA12CC"/>
    <w:rsid w:val="00BA1BC8"/>
    <w:rsid w:val="00BA2C19"/>
    <w:rsid w:val="00BA6884"/>
    <w:rsid w:val="00BA68A7"/>
    <w:rsid w:val="00BC1A65"/>
    <w:rsid w:val="00BC739A"/>
    <w:rsid w:val="00BC7FC4"/>
    <w:rsid w:val="00BD33C5"/>
    <w:rsid w:val="00BE363A"/>
    <w:rsid w:val="00BE6167"/>
    <w:rsid w:val="00BF4DE0"/>
    <w:rsid w:val="00BF56C7"/>
    <w:rsid w:val="00BF75E6"/>
    <w:rsid w:val="00C03B3E"/>
    <w:rsid w:val="00C06E5E"/>
    <w:rsid w:val="00C11532"/>
    <w:rsid w:val="00C13454"/>
    <w:rsid w:val="00C141FD"/>
    <w:rsid w:val="00C17868"/>
    <w:rsid w:val="00C2310F"/>
    <w:rsid w:val="00C241D5"/>
    <w:rsid w:val="00C317F1"/>
    <w:rsid w:val="00C36852"/>
    <w:rsid w:val="00C371DB"/>
    <w:rsid w:val="00C458FA"/>
    <w:rsid w:val="00C47DF2"/>
    <w:rsid w:val="00C53D06"/>
    <w:rsid w:val="00C548DC"/>
    <w:rsid w:val="00C5691B"/>
    <w:rsid w:val="00C571BF"/>
    <w:rsid w:val="00C62980"/>
    <w:rsid w:val="00C65048"/>
    <w:rsid w:val="00C74E63"/>
    <w:rsid w:val="00C767B7"/>
    <w:rsid w:val="00C77CDD"/>
    <w:rsid w:val="00C81683"/>
    <w:rsid w:val="00C8494D"/>
    <w:rsid w:val="00C86DB9"/>
    <w:rsid w:val="00C90671"/>
    <w:rsid w:val="00C918E0"/>
    <w:rsid w:val="00C919CE"/>
    <w:rsid w:val="00C92CA9"/>
    <w:rsid w:val="00C95C4D"/>
    <w:rsid w:val="00CA6785"/>
    <w:rsid w:val="00CB01CB"/>
    <w:rsid w:val="00CB724A"/>
    <w:rsid w:val="00CC383E"/>
    <w:rsid w:val="00CC5677"/>
    <w:rsid w:val="00CC6679"/>
    <w:rsid w:val="00CC7556"/>
    <w:rsid w:val="00CD4860"/>
    <w:rsid w:val="00CD5F7F"/>
    <w:rsid w:val="00CE20B1"/>
    <w:rsid w:val="00CE6AB2"/>
    <w:rsid w:val="00CF1034"/>
    <w:rsid w:val="00CF23BB"/>
    <w:rsid w:val="00CF2E57"/>
    <w:rsid w:val="00CF4252"/>
    <w:rsid w:val="00D01FE5"/>
    <w:rsid w:val="00D02D8F"/>
    <w:rsid w:val="00D02F6A"/>
    <w:rsid w:val="00D04846"/>
    <w:rsid w:val="00D05871"/>
    <w:rsid w:val="00D059CA"/>
    <w:rsid w:val="00D06AE2"/>
    <w:rsid w:val="00D15389"/>
    <w:rsid w:val="00D16A0F"/>
    <w:rsid w:val="00D2167B"/>
    <w:rsid w:val="00D23904"/>
    <w:rsid w:val="00D24A9F"/>
    <w:rsid w:val="00D2563B"/>
    <w:rsid w:val="00D26BAD"/>
    <w:rsid w:val="00D26C5C"/>
    <w:rsid w:val="00D276DC"/>
    <w:rsid w:val="00D31D88"/>
    <w:rsid w:val="00D32B13"/>
    <w:rsid w:val="00D358EA"/>
    <w:rsid w:val="00D35BAE"/>
    <w:rsid w:val="00D35EFD"/>
    <w:rsid w:val="00D363C5"/>
    <w:rsid w:val="00D3792C"/>
    <w:rsid w:val="00D40DC2"/>
    <w:rsid w:val="00D42014"/>
    <w:rsid w:val="00D50819"/>
    <w:rsid w:val="00D50841"/>
    <w:rsid w:val="00D50DB3"/>
    <w:rsid w:val="00D5257D"/>
    <w:rsid w:val="00D62CD7"/>
    <w:rsid w:val="00D637BD"/>
    <w:rsid w:val="00D64DF0"/>
    <w:rsid w:val="00D6668E"/>
    <w:rsid w:val="00D67071"/>
    <w:rsid w:val="00D7231B"/>
    <w:rsid w:val="00D81182"/>
    <w:rsid w:val="00D83925"/>
    <w:rsid w:val="00D847FA"/>
    <w:rsid w:val="00D871C9"/>
    <w:rsid w:val="00D926ED"/>
    <w:rsid w:val="00D9311C"/>
    <w:rsid w:val="00D93ADB"/>
    <w:rsid w:val="00D95F18"/>
    <w:rsid w:val="00DA10A8"/>
    <w:rsid w:val="00DA1F7F"/>
    <w:rsid w:val="00DA378D"/>
    <w:rsid w:val="00DA3E6D"/>
    <w:rsid w:val="00DA641F"/>
    <w:rsid w:val="00DB12C3"/>
    <w:rsid w:val="00DB4427"/>
    <w:rsid w:val="00DB46D7"/>
    <w:rsid w:val="00DB4727"/>
    <w:rsid w:val="00DB4EA9"/>
    <w:rsid w:val="00DB5CFA"/>
    <w:rsid w:val="00DC00BE"/>
    <w:rsid w:val="00DC3472"/>
    <w:rsid w:val="00DC5113"/>
    <w:rsid w:val="00DC5356"/>
    <w:rsid w:val="00DC67A5"/>
    <w:rsid w:val="00DC698E"/>
    <w:rsid w:val="00DC6999"/>
    <w:rsid w:val="00DD226C"/>
    <w:rsid w:val="00DD4B03"/>
    <w:rsid w:val="00DE1973"/>
    <w:rsid w:val="00DE19EB"/>
    <w:rsid w:val="00DE68B9"/>
    <w:rsid w:val="00DE7993"/>
    <w:rsid w:val="00DF7EBE"/>
    <w:rsid w:val="00E0214B"/>
    <w:rsid w:val="00E042C8"/>
    <w:rsid w:val="00E11243"/>
    <w:rsid w:val="00E15FB4"/>
    <w:rsid w:val="00E24004"/>
    <w:rsid w:val="00E242A2"/>
    <w:rsid w:val="00E27CB9"/>
    <w:rsid w:val="00E33A11"/>
    <w:rsid w:val="00E37634"/>
    <w:rsid w:val="00E37C64"/>
    <w:rsid w:val="00E41AB1"/>
    <w:rsid w:val="00E41F2F"/>
    <w:rsid w:val="00E46E38"/>
    <w:rsid w:val="00E510DE"/>
    <w:rsid w:val="00E539D0"/>
    <w:rsid w:val="00E53B41"/>
    <w:rsid w:val="00E54BAB"/>
    <w:rsid w:val="00E60568"/>
    <w:rsid w:val="00E65C94"/>
    <w:rsid w:val="00E67131"/>
    <w:rsid w:val="00E6731A"/>
    <w:rsid w:val="00E7139F"/>
    <w:rsid w:val="00E7478A"/>
    <w:rsid w:val="00E74B0D"/>
    <w:rsid w:val="00E8121F"/>
    <w:rsid w:val="00E84FF0"/>
    <w:rsid w:val="00E8689B"/>
    <w:rsid w:val="00E94B2C"/>
    <w:rsid w:val="00EA1816"/>
    <w:rsid w:val="00EB0237"/>
    <w:rsid w:val="00EB11B8"/>
    <w:rsid w:val="00EB6453"/>
    <w:rsid w:val="00EB6516"/>
    <w:rsid w:val="00EB7DE6"/>
    <w:rsid w:val="00EC266C"/>
    <w:rsid w:val="00EC3C5B"/>
    <w:rsid w:val="00EC5C5C"/>
    <w:rsid w:val="00EC6322"/>
    <w:rsid w:val="00EC7BF2"/>
    <w:rsid w:val="00ED0234"/>
    <w:rsid w:val="00EE0E7C"/>
    <w:rsid w:val="00EE0E92"/>
    <w:rsid w:val="00EE226A"/>
    <w:rsid w:val="00EE43C7"/>
    <w:rsid w:val="00EE6306"/>
    <w:rsid w:val="00EE7B80"/>
    <w:rsid w:val="00EF0010"/>
    <w:rsid w:val="00EF17F6"/>
    <w:rsid w:val="00EF3758"/>
    <w:rsid w:val="00EF3D3F"/>
    <w:rsid w:val="00EF3F42"/>
    <w:rsid w:val="00EF6251"/>
    <w:rsid w:val="00F003C5"/>
    <w:rsid w:val="00F00BBD"/>
    <w:rsid w:val="00F02FA8"/>
    <w:rsid w:val="00F20ABF"/>
    <w:rsid w:val="00F233E2"/>
    <w:rsid w:val="00F2354D"/>
    <w:rsid w:val="00F25590"/>
    <w:rsid w:val="00F255E9"/>
    <w:rsid w:val="00F34F74"/>
    <w:rsid w:val="00F35D8E"/>
    <w:rsid w:val="00F36D01"/>
    <w:rsid w:val="00F45558"/>
    <w:rsid w:val="00F45BC2"/>
    <w:rsid w:val="00F51D80"/>
    <w:rsid w:val="00F56AEC"/>
    <w:rsid w:val="00F572E7"/>
    <w:rsid w:val="00F61743"/>
    <w:rsid w:val="00F62989"/>
    <w:rsid w:val="00F66A81"/>
    <w:rsid w:val="00F67410"/>
    <w:rsid w:val="00F72A56"/>
    <w:rsid w:val="00F72DD9"/>
    <w:rsid w:val="00F753E1"/>
    <w:rsid w:val="00F81C2A"/>
    <w:rsid w:val="00F82FBA"/>
    <w:rsid w:val="00F83A87"/>
    <w:rsid w:val="00F854D2"/>
    <w:rsid w:val="00F9283C"/>
    <w:rsid w:val="00F9478F"/>
    <w:rsid w:val="00F95B8C"/>
    <w:rsid w:val="00F9708A"/>
    <w:rsid w:val="00F970D7"/>
    <w:rsid w:val="00FA04C5"/>
    <w:rsid w:val="00FA0547"/>
    <w:rsid w:val="00FA1CD0"/>
    <w:rsid w:val="00FA2E52"/>
    <w:rsid w:val="00FA309B"/>
    <w:rsid w:val="00FA3FE8"/>
    <w:rsid w:val="00FA7052"/>
    <w:rsid w:val="00FA7E52"/>
    <w:rsid w:val="00FB0A0B"/>
    <w:rsid w:val="00FB1FF6"/>
    <w:rsid w:val="00FB2CCF"/>
    <w:rsid w:val="00FB30C8"/>
    <w:rsid w:val="00FB3CBC"/>
    <w:rsid w:val="00FB3E95"/>
    <w:rsid w:val="00FB4971"/>
    <w:rsid w:val="00FB5B73"/>
    <w:rsid w:val="00FB7509"/>
    <w:rsid w:val="00FC0C32"/>
    <w:rsid w:val="00FC2170"/>
    <w:rsid w:val="00FC3D00"/>
    <w:rsid w:val="00FC4979"/>
    <w:rsid w:val="00FC76F3"/>
    <w:rsid w:val="00FD7052"/>
    <w:rsid w:val="00FE30C5"/>
    <w:rsid w:val="00FE4AA2"/>
    <w:rsid w:val="00FF36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AA4224"/>
  <w15:chartTrackingRefBased/>
  <w15:docId w15:val="{A8CF6450-A302-44B7-B850-AC278FC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5112"/>
    <w:rPr>
      <w:rFonts w:ascii="Arial" w:eastAsia="Times New Roman"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B5112"/>
    <w:pPr>
      <w:spacing w:before="100" w:beforeAutospacing="1" w:after="100" w:afterAutospacing="1"/>
    </w:pPr>
    <w:rPr>
      <w:rFonts w:ascii="Times New Roman" w:hAnsi="Times New Roman"/>
      <w:sz w:val="24"/>
      <w:szCs w:val="24"/>
    </w:rPr>
  </w:style>
  <w:style w:type="character" w:customStyle="1" w:styleId="apple-converted-space">
    <w:name w:val="apple-converted-space"/>
    <w:rsid w:val="004B5112"/>
    <w:rPr>
      <w:rFonts w:ascii="Calibri" w:hAnsi="Calibri"/>
    </w:rPr>
  </w:style>
  <w:style w:type="paragraph" w:styleId="NurText">
    <w:name w:val="Plain Text"/>
    <w:basedOn w:val="Standard"/>
    <w:link w:val="NurTextZchn"/>
    <w:uiPriority w:val="99"/>
    <w:unhideWhenUsed/>
    <w:rsid w:val="008A70B2"/>
    <w:rPr>
      <w:rFonts w:ascii="Consolas" w:hAnsi="Consolas"/>
      <w:sz w:val="21"/>
      <w:szCs w:val="21"/>
    </w:rPr>
  </w:style>
  <w:style w:type="character" w:customStyle="1" w:styleId="NurTextZchn">
    <w:name w:val="Nur Text Zchn"/>
    <w:link w:val="NurText"/>
    <w:uiPriority w:val="99"/>
    <w:rsid w:val="008A70B2"/>
    <w:rPr>
      <w:rFonts w:ascii="Consolas" w:eastAsia="Times New Roman" w:hAnsi="Consolas" w:cs="Times New Roman"/>
      <w:sz w:val="21"/>
      <w:szCs w:val="21"/>
    </w:rPr>
  </w:style>
  <w:style w:type="paragraph" w:styleId="Sprechblasentext">
    <w:name w:val="Balloon Text"/>
    <w:basedOn w:val="Standard"/>
    <w:link w:val="SprechblasentextZchn"/>
    <w:uiPriority w:val="99"/>
    <w:semiHidden/>
    <w:unhideWhenUsed/>
    <w:rsid w:val="006E2E86"/>
    <w:rPr>
      <w:rFonts w:ascii="Tahoma" w:hAnsi="Tahoma"/>
      <w:sz w:val="16"/>
      <w:szCs w:val="16"/>
    </w:rPr>
  </w:style>
  <w:style w:type="character" w:customStyle="1" w:styleId="SprechblasentextZchn">
    <w:name w:val="Sprechblasentext Zchn"/>
    <w:link w:val="Sprechblasentext"/>
    <w:uiPriority w:val="99"/>
    <w:semiHidden/>
    <w:rsid w:val="006E2E86"/>
    <w:rPr>
      <w:rFonts w:ascii="Tahoma" w:eastAsia="Times New Roman" w:hAnsi="Tahoma" w:cs="Tahoma"/>
      <w:sz w:val="16"/>
      <w:szCs w:val="16"/>
    </w:rPr>
  </w:style>
  <w:style w:type="character" w:styleId="Kommentarzeichen">
    <w:name w:val="annotation reference"/>
    <w:uiPriority w:val="99"/>
    <w:semiHidden/>
    <w:unhideWhenUsed/>
    <w:rsid w:val="00505591"/>
    <w:rPr>
      <w:sz w:val="16"/>
      <w:szCs w:val="16"/>
    </w:rPr>
  </w:style>
  <w:style w:type="paragraph" w:styleId="Kommentartext">
    <w:name w:val="annotation text"/>
    <w:basedOn w:val="Standard"/>
    <w:link w:val="KommentartextZchn"/>
    <w:uiPriority w:val="99"/>
    <w:semiHidden/>
    <w:unhideWhenUsed/>
    <w:rsid w:val="00505591"/>
    <w:rPr>
      <w:sz w:val="20"/>
    </w:rPr>
  </w:style>
  <w:style w:type="character" w:customStyle="1" w:styleId="KommentartextZchn">
    <w:name w:val="Kommentartext Zchn"/>
    <w:link w:val="Kommentartext"/>
    <w:uiPriority w:val="99"/>
    <w:semiHidden/>
    <w:rsid w:val="00505591"/>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505591"/>
    <w:rPr>
      <w:b/>
      <w:bCs/>
    </w:rPr>
  </w:style>
  <w:style w:type="character" w:customStyle="1" w:styleId="KommentarthemaZchn">
    <w:name w:val="Kommentarthema Zchn"/>
    <w:link w:val="Kommentarthema"/>
    <w:uiPriority w:val="99"/>
    <w:semiHidden/>
    <w:rsid w:val="00505591"/>
    <w:rPr>
      <w:rFonts w:ascii="Arial" w:eastAsia="Times New Roman" w:hAnsi="Arial" w:cs="Times New Roman"/>
      <w:b/>
      <w:bCs/>
      <w:sz w:val="20"/>
      <w:szCs w:val="20"/>
    </w:rPr>
  </w:style>
  <w:style w:type="paragraph" w:styleId="Kopfzeile">
    <w:name w:val="header"/>
    <w:basedOn w:val="Standard"/>
    <w:link w:val="KopfzeileZchn"/>
    <w:uiPriority w:val="99"/>
    <w:unhideWhenUsed/>
    <w:rsid w:val="0025583A"/>
    <w:pPr>
      <w:tabs>
        <w:tab w:val="center" w:pos="4536"/>
        <w:tab w:val="right" w:pos="9072"/>
      </w:tabs>
    </w:pPr>
    <w:rPr>
      <w:sz w:val="20"/>
    </w:rPr>
  </w:style>
  <w:style w:type="character" w:customStyle="1" w:styleId="KopfzeileZchn">
    <w:name w:val="Kopfzeile Zchn"/>
    <w:link w:val="Kopfzeile"/>
    <w:uiPriority w:val="99"/>
    <w:rsid w:val="0025583A"/>
    <w:rPr>
      <w:rFonts w:ascii="Arial" w:eastAsia="Times New Roman" w:hAnsi="Arial" w:cs="Times New Roman"/>
      <w:szCs w:val="20"/>
    </w:rPr>
  </w:style>
  <w:style w:type="paragraph" w:styleId="Fuzeile">
    <w:name w:val="footer"/>
    <w:basedOn w:val="Standard"/>
    <w:link w:val="FuzeileZchn"/>
    <w:uiPriority w:val="99"/>
    <w:unhideWhenUsed/>
    <w:rsid w:val="0025583A"/>
    <w:pPr>
      <w:tabs>
        <w:tab w:val="center" w:pos="4536"/>
        <w:tab w:val="right" w:pos="9072"/>
      </w:tabs>
    </w:pPr>
    <w:rPr>
      <w:sz w:val="20"/>
    </w:rPr>
  </w:style>
  <w:style w:type="character" w:customStyle="1" w:styleId="FuzeileZchn">
    <w:name w:val="Fußzeile Zchn"/>
    <w:link w:val="Fuzeile"/>
    <w:uiPriority w:val="99"/>
    <w:rsid w:val="0025583A"/>
    <w:rPr>
      <w:rFonts w:ascii="Arial" w:eastAsia="Times New Roman" w:hAnsi="Arial" w:cs="Times New Roman"/>
      <w:szCs w:val="20"/>
    </w:rPr>
  </w:style>
  <w:style w:type="character" w:styleId="Seitenzahl">
    <w:name w:val="page number"/>
    <w:uiPriority w:val="99"/>
    <w:rsid w:val="0025583A"/>
    <w:rPr>
      <w:rFonts w:ascii="Calibri" w:hAnsi="Calibri" w:cs="Times New Roman"/>
    </w:rPr>
  </w:style>
  <w:style w:type="character" w:styleId="Hyperlink">
    <w:name w:val="Hyperlink"/>
    <w:uiPriority w:val="99"/>
    <w:rsid w:val="0025583A"/>
    <w:rPr>
      <w:rFonts w:ascii="Calibri" w:hAnsi="Calibri" w:cs="Times New Roman"/>
      <w:color w:val="0000FF"/>
      <w:u w:val="single"/>
    </w:rPr>
  </w:style>
  <w:style w:type="character" w:customStyle="1" w:styleId="BesuchterHyperlink1">
    <w:name w:val="BesuchterHyperlink1"/>
    <w:uiPriority w:val="99"/>
    <w:semiHidden/>
    <w:unhideWhenUsed/>
    <w:rsid w:val="00D02D8F"/>
    <w:rPr>
      <w:color w:val="800080"/>
      <w:u w:val="single"/>
    </w:rPr>
  </w:style>
  <w:style w:type="character" w:customStyle="1" w:styleId="NichtaufgelsteErwhnung1">
    <w:name w:val="Nicht aufgelöste Erwähnung1"/>
    <w:uiPriority w:val="99"/>
    <w:semiHidden/>
    <w:unhideWhenUsed/>
    <w:rsid w:val="00117E81"/>
    <w:rPr>
      <w:color w:val="605E5C"/>
      <w:shd w:val="clear" w:color="auto" w:fill="E1DFDD"/>
    </w:rPr>
  </w:style>
  <w:style w:type="character" w:styleId="NichtaufgelsteErwhnung">
    <w:name w:val="Unresolved Mention"/>
    <w:basedOn w:val="Absatz-Standardschriftart"/>
    <w:uiPriority w:val="99"/>
    <w:semiHidden/>
    <w:unhideWhenUsed/>
    <w:rsid w:val="00C36852"/>
    <w:rPr>
      <w:color w:val="605E5C"/>
      <w:shd w:val="clear" w:color="auto" w:fill="E1DFDD"/>
    </w:rPr>
  </w:style>
  <w:style w:type="character" w:styleId="Fett">
    <w:name w:val="Strong"/>
    <w:basedOn w:val="Absatz-Standardschriftart"/>
    <w:uiPriority w:val="22"/>
    <w:qFormat/>
    <w:rsid w:val="00C45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newcloud.a1kommunikation.de/index.php/s/NM4HQ0UTQhOTzug"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beumer.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1676</Words>
  <Characters>10565</Characters>
  <Application>Microsoft Office Word</Application>
  <DocSecurity>0</DocSecurity>
  <Lines>88</Lines>
  <Paragraphs>24</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12217</CharactersWithSpaces>
  <SharedDoc>false</SharedDoc>
  <HyperlinkBase/>
  <HLinks>
    <vt:vector size="36" baseType="variant">
      <vt:variant>
        <vt:i4>2490374</vt:i4>
      </vt:variant>
      <vt:variant>
        <vt:i4>0</vt:i4>
      </vt:variant>
      <vt:variant>
        <vt:i4>0</vt:i4>
      </vt:variant>
      <vt:variant>
        <vt:i4>5</vt:i4>
      </vt:variant>
      <vt:variant>
        <vt:lpwstr>mailto:klu@a1kommunikation.de?subject=BEUMER%20Group:%20UNSUBSCRIBE</vt:lpwstr>
      </vt:variant>
      <vt:variant>
        <vt:lpwstr/>
      </vt:variant>
      <vt:variant>
        <vt:i4>8192054</vt:i4>
      </vt:variant>
      <vt:variant>
        <vt:i4>12</vt:i4>
      </vt:variant>
      <vt:variant>
        <vt:i4>0</vt:i4>
      </vt:variant>
      <vt:variant>
        <vt:i4>5</vt:i4>
      </vt:variant>
      <vt:variant>
        <vt:lpwstr>http://www.a1kommunikation.de/</vt:lpwstr>
      </vt:variant>
      <vt:variant>
        <vt:lpwstr/>
      </vt:variant>
      <vt:variant>
        <vt:i4>327781</vt:i4>
      </vt:variant>
      <vt:variant>
        <vt:i4>9</vt:i4>
      </vt:variant>
      <vt:variant>
        <vt:i4>0</vt:i4>
      </vt:variant>
      <vt:variant>
        <vt:i4>5</vt:i4>
      </vt:variant>
      <vt:variant>
        <vt:lpwstr>mailto:klu@a1kommunikation.de</vt:lpwstr>
      </vt:variant>
      <vt:variant>
        <vt:lpwstr/>
      </vt:variant>
      <vt:variant>
        <vt:i4>3604516</vt:i4>
      </vt:variant>
      <vt:variant>
        <vt:i4>6</vt:i4>
      </vt:variant>
      <vt:variant>
        <vt:i4>0</vt:i4>
      </vt:variant>
      <vt:variant>
        <vt:i4>5</vt:i4>
      </vt:variant>
      <vt:variant>
        <vt:lpwstr>http://www.beumer.com/</vt:lpwstr>
      </vt:variant>
      <vt:variant>
        <vt:lpwstr/>
      </vt:variant>
      <vt:variant>
        <vt:i4>6291472</vt:i4>
      </vt:variant>
      <vt:variant>
        <vt:i4>3</vt:i4>
      </vt:variant>
      <vt:variant>
        <vt:i4>0</vt:i4>
      </vt:variant>
      <vt:variant>
        <vt:i4>5</vt:i4>
      </vt:variant>
      <vt:variant>
        <vt:lpwstr>mailto:Verena.Breuer@beumer.com</vt:lpwstr>
      </vt:variant>
      <vt:variant>
        <vt:lpwstr/>
      </vt:variant>
      <vt:variant>
        <vt:i4>7929865</vt:i4>
      </vt:variant>
      <vt:variant>
        <vt:i4>0</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Bauma 2019</dc:subject>
  <dc:creator>regina.schnathmann@beumergroup.com</dc:creator>
  <cp:keywords/>
  <cp:lastModifiedBy>Neubert Eva</cp:lastModifiedBy>
  <cp:revision>20</cp:revision>
  <cp:lastPrinted>2020-01-23T14:43:00Z</cp:lastPrinted>
  <dcterms:created xsi:type="dcterms:W3CDTF">2020-11-25T13:22:00Z</dcterms:created>
  <dcterms:modified xsi:type="dcterms:W3CDTF">2021-06-02T06:13:00Z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130993</vt:lpwstr>
  </property>
  <property fmtid="{D5CDD505-2E9C-101B-9397-08002B2CF9AE}" pid="3" name="NXPowerLiteSettings">
    <vt:lpwstr>C7000400038000</vt:lpwstr>
  </property>
  <property fmtid="{D5CDD505-2E9C-101B-9397-08002B2CF9AE}" pid="4" name="NXPowerLiteVersion">
    <vt:lpwstr>S9.0.1</vt:lpwstr>
  </property>
</Properties>
</file>